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5182" w14:textId="1AF90416" w:rsidR="00D8187E" w:rsidRDefault="008C413A" w:rsidP="008C413A">
      <w:pPr>
        <w:jc w:val="center"/>
      </w:pPr>
      <w:r>
        <w:rPr>
          <w:noProof/>
        </w:rPr>
        <w:drawing>
          <wp:inline distT="0" distB="0" distL="0" distR="0" wp14:anchorId="4CEB2019" wp14:editId="2A239BDD">
            <wp:extent cx="1923691" cy="404650"/>
            <wp:effectExtent l="0" t="0" r="635" b="0"/>
            <wp:docPr id="1426616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920" cy="418581"/>
                    </a:xfrm>
                    <a:prstGeom prst="rect">
                      <a:avLst/>
                    </a:prstGeom>
                    <a:noFill/>
                    <a:ln>
                      <a:noFill/>
                    </a:ln>
                  </pic:spPr>
                </pic:pic>
              </a:graphicData>
            </a:graphic>
          </wp:inline>
        </w:drawing>
      </w:r>
    </w:p>
    <w:p w14:paraId="6C817FE0" w14:textId="3811BB39" w:rsidR="00F9157C" w:rsidRDefault="00F9157C" w:rsidP="00B42A3A">
      <w:pPr>
        <w:pStyle w:val="Heading1"/>
        <w:rPr>
          <w:spacing w:val="-2"/>
        </w:rPr>
      </w:pPr>
      <w:r>
        <w:t>Gender</w:t>
      </w:r>
      <w:r>
        <w:rPr>
          <w:spacing w:val="-3"/>
        </w:rPr>
        <w:t xml:space="preserve"> </w:t>
      </w:r>
      <w:r>
        <w:t>Pay</w:t>
      </w:r>
      <w:r>
        <w:rPr>
          <w:spacing w:val="-2"/>
        </w:rPr>
        <w:t xml:space="preserve"> </w:t>
      </w:r>
      <w:r>
        <w:t>Gap</w:t>
      </w:r>
      <w:r>
        <w:rPr>
          <w:spacing w:val="-2"/>
        </w:rPr>
        <w:t xml:space="preserve"> </w:t>
      </w:r>
      <w:r>
        <w:t>Reporting</w:t>
      </w:r>
      <w:r>
        <w:rPr>
          <w:spacing w:val="-3"/>
        </w:rPr>
        <w:t xml:space="preserve"> </w:t>
      </w:r>
      <w:r>
        <w:rPr>
          <w:spacing w:val="-2"/>
        </w:rPr>
        <w:t>2025/26</w:t>
      </w:r>
    </w:p>
    <w:p w14:paraId="1BFF99C7" w14:textId="7E3CCF9F" w:rsidR="00F9157C" w:rsidRPr="00F9157C" w:rsidRDefault="001330F7" w:rsidP="00F9157C">
      <w:r>
        <w:rPr>
          <w:noProof/>
        </w:rPr>
        <mc:AlternateContent>
          <mc:Choice Requires="wpg">
            <w:drawing>
              <wp:inline distT="0" distB="0" distL="0" distR="0" wp14:anchorId="7DF5F846" wp14:editId="5920AA20">
                <wp:extent cx="6465763" cy="1677062"/>
                <wp:effectExtent l="0" t="0" r="11430" b="18415"/>
                <wp:docPr id="489414291" name="Group 3"/>
                <wp:cNvGraphicFramePr/>
                <a:graphic xmlns:a="http://schemas.openxmlformats.org/drawingml/2006/main">
                  <a:graphicData uri="http://schemas.microsoft.com/office/word/2010/wordprocessingGroup">
                    <wpg:wgp>
                      <wpg:cNvGrpSpPr/>
                      <wpg:grpSpPr>
                        <a:xfrm>
                          <a:off x="0" y="0"/>
                          <a:ext cx="6465763" cy="1677062"/>
                          <a:chOff x="0" y="0"/>
                          <a:chExt cx="6465763" cy="1677062"/>
                        </a:xfrm>
                      </wpg:grpSpPr>
                      <wpg:grpSp>
                        <wpg:cNvPr id="1081891732" name="Group 2"/>
                        <wpg:cNvGrpSpPr/>
                        <wpg:grpSpPr>
                          <a:xfrm>
                            <a:off x="3586038" y="0"/>
                            <a:ext cx="2879725" cy="1669711"/>
                            <a:chOff x="0" y="0"/>
                            <a:chExt cx="2879725" cy="1669711"/>
                          </a:xfrm>
                        </wpg:grpSpPr>
                        <wps:wsp>
                          <wps:cNvPr id="988628036" name="Text Box 2"/>
                          <wps:cNvSpPr txBox="1">
                            <a:spLocks noChangeArrowheads="1"/>
                          </wps:cNvSpPr>
                          <wps:spPr bwMode="auto">
                            <a:xfrm>
                              <a:off x="0" y="0"/>
                              <a:ext cx="2879725" cy="380365"/>
                            </a:xfrm>
                            <a:prstGeom prst="rect">
                              <a:avLst/>
                            </a:prstGeom>
                            <a:solidFill>
                              <a:srgbClr val="033856"/>
                            </a:solidFill>
                            <a:ln w="9525">
                              <a:solidFill>
                                <a:srgbClr val="000000"/>
                              </a:solidFill>
                              <a:miter lim="800000"/>
                              <a:headEnd/>
                              <a:tailEnd/>
                            </a:ln>
                          </wps:spPr>
                          <wps:txbx>
                            <w:txbxContent>
                              <w:p w14:paraId="04B0C871" w14:textId="1AC843DD" w:rsidR="00CC5BD7" w:rsidRPr="00CC5BD7" w:rsidRDefault="00CC5BD7" w:rsidP="00CC5BD7">
                                <w:pPr>
                                  <w:jc w:val="center"/>
                                  <w:rPr>
                                    <w:b/>
                                    <w:bCs/>
                                    <w:color w:val="000000"/>
                                    <w:sz w:val="36"/>
                                    <w:szCs w:val="36"/>
                                  </w:rPr>
                                </w:pPr>
                                <w:r>
                                  <w:rPr>
                                    <w:b/>
                                    <w:bCs/>
                                    <w:sz w:val="36"/>
                                    <w:szCs w:val="36"/>
                                  </w:rPr>
                                  <w:t>Median 2.38%</w:t>
                                </w:r>
                              </w:p>
                            </w:txbxContent>
                          </wps:txbx>
                          <wps:bodyPr rot="0" vert="horz" wrap="square" lIns="36000" tIns="36000" rIns="36000" bIns="36000" anchor="t" anchorCtr="0">
                            <a:noAutofit/>
                          </wps:bodyPr>
                        </wps:wsp>
                        <wps:wsp>
                          <wps:cNvPr id="233203277" name="Text Box 2"/>
                          <wps:cNvSpPr txBox="1">
                            <a:spLocks noChangeArrowheads="1"/>
                          </wps:cNvSpPr>
                          <wps:spPr bwMode="auto">
                            <a:xfrm>
                              <a:off x="0" y="373711"/>
                              <a:ext cx="2879725" cy="1296000"/>
                            </a:xfrm>
                            <a:prstGeom prst="rect">
                              <a:avLst/>
                            </a:prstGeom>
                            <a:solidFill>
                              <a:schemeClr val="bg1">
                                <a:lumMod val="95000"/>
                              </a:schemeClr>
                            </a:solidFill>
                            <a:ln w="9525">
                              <a:solidFill>
                                <a:srgbClr val="033856"/>
                              </a:solidFill>
                              <a:miter lim="800000"/>
                              <a:headEnd/>
                              <a:tailEnd/>
                            </a:ln>
                          </wps:spPr>
                          <wps:txbx>
                            <w:txbxContent>
                              <w:p w14:paraId="529910E3" w14:textId="149BDA64" w:rsidR="002A0B65" w:rsidRDefault="002A0B65" w:rsidP="002A0B65">
                                <w:r>
                                  <w:t>The</w:t>
                                </w:r>
                                <w:r>
                                  <w:rPr>
                                    <w:spacing w:val="-4"/>
                                  </w:rPr>
                                  <w:t xml:space="preserve"> </w:t>
                                </w:r>
                                <w:r>
                                  <w:t>mid-point</w:t>
                                </w:r>
                                <w:r>
                                  <w:rPr>
                                    <w:spacing w:val="-1"/>
                                  </w:rPr>
                                  <w:t xml:space="preserve"> </w:t>
                                </w:r>
                                <w:r>
                                  <w:t>difference</w:t>
                                </w:r>
                                <w:r>
                                  <w:rPr>
                                    <w:spacing w:val="-7"/>
                                  </w:rPr>
                                  <w:t xml:space="preserve"> </w:t>
                                </w:r>
                                <w:r>
                                  <w:t>in</w:t>
                                </w:r>
                                <w:r>
                                  <w:rPr>
                                    <w:spacing w:val="-2"/>
                                  </w:rPr>
                                  <w:t xml:space="preserve"> </w:t>
                                </w:r>
                                <w:r>
                                  <w:t>gross</w:t>
                                </w:r>
                                <w:r>
                                  <w:rPr>
                                    <w:spacing w:val="-4"/>
                                  </w:rPr>
                                  <w:t xml:space="preserve"> </w:t>
                                </w:r>
                                <w:r>
                                  <w:t>hourly</w:t>
                                </w:r>
                                <w:r>
                                  <w:rPr>
                                    <w:spacing w:val="-4"/>
                                  </w:rPr>
                                  <w:t xml:space="preserve"> </w:t>
                                </w:r>
                                <w:r>
                                  <w:t>earnings</w:t>
                                </w:r>
                                <w:r>
                                  <w:rPr>
                                    <w:spacing w:val="-4"/>
                                  </w:rPr>
                                  <w:t xml:space="preserve"> </w:t>
                                </w:r>
                                <w:r>
                                  <w:t>for</w:t>
                                </w:r>
                                <w:r>
                                  <w:rPr>
                                    <w:spacing w:val="-3"/>
                                  </w:rPr>
                                  <w:t xml:space="preserve"> </w:t>
                                </w:r>
                                <w:r>
                                  <w:t>all</w:t>
                                </w:r>
                                <w:r>
                                  <w:rPr>
                                    <w:spacing w:val="-3"/>
                                  </w:rPr>
                                  <w:t xml:space="preserve"> </w:t>
                                </w:r>
                                <w:r>
                                  <w:t>men</w:t>
                                </w:r>
                                <w:r>
                                  <w:rPr>
                                    <w:spacing w:val="-4"/>
                                  </w:rPr>
                                  <w:t xml:space="preserve"> </w:t>
                                </w:r>
                                <w:r>
                                  <w:t>and women, expressed as a percentage of male earnings.</w:t>
                                </w:r>
                              </w:p>
                              <w:p w14:paraId="5529C814" w14:textId="77EB6652" w:rsidR="002A0B65" w:rsidRDefault="002A0B65" w:rsidP="002A0B65">
                                <w:r w:rsidRPr="008C3757">
                                  <w:t xml:space="preserve">This means that when comparing median pay, males earn </w:t>
                                </w:r>
                                <w:r>
                                  <w:t>2.38</w:t>
                                </w:r>
                                <w:r w:rsidRPr="008C3757">
                                  <w:t xml:space="preserve">% more than females within the </w:t>
                                </w:r>
                                <w:r>
                                  <w:t>organisation.</w:t>
                                </w:r>
                              </w:p>
                              <w:p w14:paraId="06B91782" w14:textId="6A0409CF" w:rsidR="00CC5BD7" w:rsidRPr="00CC5BD7" w:rsidRDefault="00CC5BD7" w:rsidP="002A0B65">
                                <w:pPr>
                                  <w:rPr>
                                    <w:color w:val="000000"/>
                                  </w:rPr>
                                </w:pPr>
                              </w:p>
                            </w:txbxContent>
                          </wps:txbx>
                          <wps:bodyPr rot="0" vert="horz" wrap="square" lIns="36000" tIns="36000" rIns="36000" bIns="36000" anchor="t" anchorCtr="0">
                            <a:noAutofit/>
                          </wps:bodyPr>
                        </wps:wsp>
                      </wpg:grpSp>
                      <wpg:grpSp>
                        <wpg:cNvPr id="2131922487" name="Group 1"/>
                        <wpg:cNvGrpSpPr/>
                        <wpg:grpSpPr>
                          <a:xfrm>
                            <a:off x="0" y="0"/>
                            <a:ext cx="2880000" cy="1677062"/>
                            <a:chOff x="0" y="0"/>
                            <a:chExt cx="2880000" cy="1677062"/>
                          </a:xfrm>
                        </wpg:grpSpPr>
                        <wps:wsp>
                          <wps:cNvPr id="217" name="Text Box 2"/>
                          <wps:cNvSpPr txBox="1">
                            <a:spLocks noChangeArrowheads="1"/>
                          </wps:cNvSpPr>
                          <wps:spPr bwMode="auto">
                            <a:xfrm>
                              <a:off x="0" y="0"/>
                              <a:ext cx="2880000" cy="380391"/>
                            </a:xfrm>
                            <a:prstGeom prst="rect">
                              <a:avLst/>
                            </a:prstGeom>
                            <a:solidFill>
                              <a:srgbClr val="033856"/>
                            </a:solidFill>
                            <a:ln w="9525">
                              <a:solidFill>
                                <a:srgbClr val="000000"/>
                              </a:solidFill>
                              <a:miter lim="800000"/>
                              <a:headEnd/>
                              <a:tailEnd/>
                            </a:ln>
                          </wps:spPr>
                          <wps:txbx>
                            <w:txbxContent>
                              <w:p w14:paraId="7C901D0C" w14:textId="4FA3417D" w:rsidR="00345BC2" w:rsidRPr="00CC5BD7" w:rsidRDefault="00CC5BD7" w:rsidP="00CC5BD7">
                                <w:pPr>
                                  <w:jc w:val="center"/>
                                  <w:rPr>
                                    <w:b/>
                                    <w:bCs/>
                                    <w:color w:val="000000"/>
                                    <w:sz w:val="36"/>
                                    <w:szCs w:val="36"/>
                                  </w:rPr>
                                </w:pPr>
                                <w:r w:rsidRPr="00CC5BD7">
                                  <w:rPr>
                                    <w:b/>
                                    <w:bCs/>
                                    <w:sz w:val="36"/>
                                    <w:szCs w:val="36"/>
                                  </w:rPr>
                                  <w:t>Mean 6.13%</w:t>
                                </w:r>
                              </w:p>
                            </w:txbxContent>
                          </wps:txbx>
                          <wps:bodyPr rot="0" vert="horz" wrap="square" lIns="36000" tIns="36000" rIns="36000" bIns="36000" anchor="t" anchorCtr="0">
                            <a:noAutofit/>
                          </wps:bodyPr>
                        </wps:wsp>
                        <wps:wsp>
                          <wps:cNvPr id="1516250687" name="Text Box 2"/>
                          <wps:cNvSpPr txBox="1">
                            <a:spLocks noChangeArrowheads="1"/>
                          </wps:cNvSpPr>
                          <wps:spPr bwMode="auto">
                            <a:xfrm>
                              <a:off x="0" y="381662"/>
                              <a:ext cx="2879725" cy="1295400"/>
                            </a:xfrm>
                            <a:prstGeom prst="rect">
                              <a:avLst/>
                            </a:prstGeom>
                            <a:solidFill>
                              <a:schemeClr val="bg1">
                                <a:lumMod val="95000"/>
                              </a:schemeClr>
                            </a:solidFill>
                            <a:ln w="9525">
                              <a:solidFill>
                                <a:srgbClr val="033856"/>
                              </a:solidFill>
                              <a:miter lim="800000"/>
                              <a:headEnd/>
                              <a:tailEnd/>
                            </a:ln>
                          </wps:spPr>
                          <wps:txbx>
                            <w:txbxContent>
                              <w:p w14:paraId="7C0E6D16" w14:textId="77777777" w:rsidR="00AE0A46" w:rsidRDefault="00AE0A46" w:rsidP="00AE0A46">
                                <w:r>
                                  <w:t>The</w:t>
                                </w:r>
                                <w:r>
                                  <w:rPr>
                                    <w:spacing w:val="-4"/>
                                  </w:rPr>
                                  <w:t xml:space="preserve"> </w:t>
                                </w:r>
                                <w:r>
                                  <w:t>average</w:t>
                                </w:r>
                                <w:r>
                                  <w:rPr>
                                    <w:spacing w:val="-4"/>
                                  </w:rPr>
                                  <w:t xml:space="preserve"> </w:t>
                                </w:r>
                                <w:r>
                                  <w:t>difference</w:t>
                                </w:r>
                                <w:r>
                                  <w:rPr>
                                    <w:spacing w:val="-4"/>
                                  </w:rPr>
                                  <w:t xml:space="preserve"> </w:t>
                                </w:r>
                                <w:r>
                                  <w:t>in</w:t>
                                </w:r>
                                <w:r>
                                  <w:rPr>
                                    <w:spacing w:val="-4"/>
                                  </w:rPr>
                                  <w:t xml:space="preserve"> </w:t>
                                </w:r>
                                <w:r>
                                  <w:t>gross</w:t>
                                </w:r>
                                <w:r>
                                  <w:rPr>
                                    <w:spacing w:val="-4"/>
                                  </w:rPr>
                                  <w:t xml:space="preserve"> </w:t>
                                </w:r>
                                <w:r>
                                  <w:t>hourly</w:t>
                                </w:r>
                                <w:r>
                                  <w:rPr>
                                    <w:spacing w:val="-4"/>
                                  </w:rPr>
                                  <w:t xml:space="preserve"> </w:t>
                                </w:r>
                                <w:r>
                                  <w:t>earnings</w:t>
                                </w:r>
                                <w:r>
                                  <w:rPr>
                                    <w:spacing w:val="-6"/>
                                  </w:rPr>
                                  <w:t xml:space="preserve"> </w:t>
                                </w:r>
                                <w:r>
                                  <w:t>between</w:t>
                                </w:r>
                                <w:r>
                                  <w:rPr>
                                    <w:spacing w:val="-2"/>
                                  </w:rPr>
                                  <w:t xml:space="preserve"> </w:t>
                                </w:r>
                                <w:r>
                                  <w:t>men</w:t>
                                </w:r>
                                <w:r>
                                  <w:rPr>
                                    <w:spacing w:val="-2"/>
                                  </w:rPr>
                                  <w:t xml:space="preserve"> </w:t>
                                </w:r>
                                <w:r>
                                  <w:t>and</w:t>
                                </w:r>
                                <w:r>
                                  <w:rPr>
                                    <w:spacing w:val="-4"/>
                                  </w:rPr>
                                  <w:t xml:space="preserve"> </w:t>
                                </w:r>
                                <w:r>
                                  <w:t>women, expressed as a percentage of male earnings</w:t>
                                </w:r>
                              </w:p>
                              <w:p w14:paraId="507BE51E" w14:textId="1D6C8CD2" w:rsidR="00AE0A46" w:rsidRDefault="00AE0A46" w:rsidP="00AE0A46">
                                <w:r>
                                  <w:t>This</w:t>
                                </w:r>
                                <w:r>
                                  <w:rPr>
                                    <w:spacing w:val="-2"/>
                                  </w:rPr>
                                  <w:t xml:space="preserve"> </w:t>
                                </w:r>
                                <w:r>
                                  <w:t>means</w:t>
                                </w:r>
                                <w:r>
                                  <w:rPr>
                                    <w:spacing w:val="-3"/>
                                  </w:rPr>
                                  <w:t xml:space="preserve"> </w:t>
                                </w:r>
                                <w:r>
                                  <w:t>that when</w:t>
                                </w:r>
                                <w:r>
                                  <w:rPr>
                                    <w:spacing w:val="-1"/>
                                  </w:rPr>
                                  <w:t xml:space="preserve"> </w:t>
                                </w:r>
                                <w:r>
                                  <w:t>comparing</w:t>
                                </w:r>
                                <w:r>
                                  <w:rPr>
                                    <w:spacing w:val="-1"/>
                                  </w:rPr>
                                  <w:t xml:space="preserve"> </w:t>
                                </w:r>
                                <w:r>
                                  <w:t>mean</w:t>
                                </w:r>
                                <w:r>
                                  <w:rPr>
                                    <w:spacing w:val="-3"/>
                                  </w:rPr>
                                  <w:t xml:space="preserve"> </w:t>
                                </w:r>
                                <w:r>
                                  <w:t>pay, males earn</w:t>
                                </w:r>
                                <w:r>
                                  <w:rPr>
                                    <w:spacing w:val="-3"/>
                                  </w:rPr>
                                  <w:t xml:space="preserve"> </w:t>
                                </w:r>
                                <w:r>
                                  <w:t>6.13%</w:t>
                                </w:r>
                                <w:r>
                                  <w:rPr>
                                    <w:spacing w:val="-3"/>
                                  </w:rPr>
                                  <w:t xml:space="preserve"> </w:t>
                                </w:r>
                                <w:r>
                                  <w:t>more</w:t>
                                </w:r>
                                <w:r>
                                  <w:rPr>
                                    <w:spacing w:val="-5"/>
                                  </w:rPr>
                                  <w:t xml:space="preserve"> </w:t>
                                </w:r>
                                <w:r>
                                  <w:t>than females within the organisation.</w:t>
                                </w:r>
                              </w:p>
                              <w:p w14:paraId="659F5639" w14:textId="3391D112" w:rsidR="009C050B" w:rsidRPr="00CC5BD7" w:rsidRDefault="009C050B" w:rsidP="00AE0A46">
                                <w:pPr>
                                  <w:rPr>
                                    <w:color w:val="000000"/>
                                  </w:rPr>
                                </w:pPr>
                              </w:p>
                            </w:txbxContent>
                          </wps:txbx>
                          <wps:bodyPr rot="0" vert="horz" wrap="square" lIns="36000" tIns="36000" rIns="36000" bIns="36000" anchor="t" anchorCtr="0">
                            <a:noAutofit/>
                          </wps:bodyPr>
                        </wps:wsp>
                      </wpg:grpSp>
                    </wpg:wgp>
                  </a:graphicData>
                </a:graphic>
              </wp:inline>
            </w:drawing>
          </mc:Choice>
          <mc:Fallback>
            <w:pict>
              <v:group w14:anchorId="7DF5F846" id="Group 3" o:spid="_x0000_s1026" style="width:509.1pt;height:132.05pt;mso-position-horizontal-relative:char;mso-position-vertical-relative:line" coordsize="64657,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">
                <v:group id="Group 2" o:spid="_x0000_s1027" style="position:absolute;left:35860;width:28797;height:16697" coordsize="28797,1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">
                  <v:shapetype id="_x0000_t202" coordsize="21600,21600" o:spt="202" path="m,l,21600r21600,l21600,xe">
                    <v:stroke joinstyle="miter"/>
                    <v:path gradientshapeok="t" o:connecttype="rect"/>
                  </v:shapetype>
                  <v:shape id="_x0000_s1028" type="#_x0000_t202" style="position:absolute;width:28797;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" fillcolor="#033856">
                    <v:textbox inset="1mm,1mm,1mm,1mm">
                      <w:txbxContent>
                        <w:p w14:paraId="04B0C871" w14:textId="1AC843DD" w:rsidR="00CC5BD7" w:rsidRPr="00CC5BD7" w:rsidRDefault="00CC5BD7" w:rsidP="00CC5BD7">
                          <w:pPr>
                            <w:jc w:val="center"/>
                            <w:rPr>
                              <w:b/>
                              <w:bCs/>
                              <w:color w:val="000000"/>
                              <w:sz w:val="36"/>
                              <w:szCs w:val="36"/>
                            </w:rPr>
                          </w:pPr>
                          <w:r>
                            <w:rPr>
                              <w:b/>
                              <w:bCs/>
                              <w:sz w:val="36"/>
                              <w:szCs w:val="36"/>
                            </w:rPr>
                            <w:t>Median 2.38%</w:t>
                          </w:r>
                        </w:p>
                      </w:txbxContent>
                    </v:textbox>
                  </v:shape>
                  <v:shape id="_x0000_s1029" type="#_x0000_t202" style="position:absolute;top:3737;width:28797;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" fillcolor="#f2f2f2 [3052]" strokecolor="#033856">
                    <v:textbox inset="1mm,1mm,1mm,1mm">
                      <w:txbxContent>
                        <w:p w14:paraId="529910E3" w14:textId="149BDA64" w:rsidR="002A0B65" w:rsidRDefault="002A0B65" w:rsidP="002A0B65">
                          <w:r>
                            <w:t>The</w:t>
                          </w:r>
                          <w:r>
                            <w:rPr>
                              <w:spacing w:val="-4"/>
                            </w:rPr>
                            <w:t xml:space="preserve"> </w:t>
                          </w:r>
                          <w:r>
                            <w:t>mid-point</w:t>
                          </w:r>
                          <w:r>
                            <w:rPr>
                              <w:spacing w:val="-1"/>
                            </w:rPr>
                            <w:t xml:space="preserve"> </w:t>
                          </w:r>
                          <w:r>
                            <w:t>difference</w:t>
                          </w:r>
                          <w:r>
                            <w:rPr>
                              <w:spacing w:val="-7"/>
                            </w:rPr>
                            <w:t xml:space="preserve"> </w:t>
                          </w:r>
                          <w:r>
                            <w:t>in</w:t>
                          </w:r>
                          <w:r>
                            <w:rPr>
                              <w:spacing w:val="-2"/>
                            </w:rPr>
                            <w:t xml:space="preserve"> </w:t>
                          </w:r>
                          <w:r>
                            <w:t>gross</w:t>
                          </w:r>
                          <w:r>
                            <w:rPr>
                              <w:spacing w:val="-4"/>
                            </w:rPr>
                            <w:t xml:space="preserve"> </w:t>
                          </w:r>
                          <w:r>
                            <w:t>hourly</w:t>
                          </w:r>
                          <w:r>
                            <w:rPr>
                              <w:spacing w:val="-4"/>
                            </w:rPr>
                            <w:t xml:space="preserve"> </w:t>
                          </w:r>
                          <w:r>
                            <w:t>earnings</w:t>
                          </w:r>
                          <w:r>
                            <w:rPr>
                              <w:spacing w:val="-4"/>
                            </w:rPr>
                            <w:t xml:space="preserve"> </w:t>
                          </w:r>
                          <w:r>
                            <w:t>for</w:t>
                          </w:r>
                          <w:r>
                            <w:rPr>
                              <w:spacing w:val="-3"/>
                            </w:rPr>
                            <w:t xml:space="preserve"> </w:t>
                          </w:r>
                          <w:r>
                            <w:t>all</w:t>
                          </w:r>
                          <w:r>
                            <w:rPr>
                              <w:spacing w:val="-3"/>
                            </w:rPr>
                            <w:t xml:space="preserve"> </w:t>
                          </w:r>
                          <w:r>
                            <w:t>men</w:t>
                          </w:r>
                          <w:r>
                            <w:rPr>
                              <w:spacing w:val="-4"/>
                            </w:rPr>
                            <w:t xml:space="preserve"> </w:t>
                          </w:r>
                          <w:r>
                            <w:t>and women, expressed as a percentage of male earnings.</w:t>
                          </w:r>
                        </w:p>
                        <w:p w14:paraId="5529C814" w14:textId="77EB6652" w:rsidR="002A0B65" w:rsidRDefault="002A0B65" w:rsidP="002A0B65">
                          <w:r w:rsidRPr="008C3757">
                            <w:t xml:space="preserve">This means that when comparing median pay, males earn </w:t>
                          </w:r>
                          <w:r>
                            <w:t>2.38</w:t>
                          </w:r>
                          <w:r w:rsidRPr="008C3757">
                            <w:t xml:space="preserve">% more than females within the </w:t>
                          </w:r>
                          <w:r>
                            <w:t>organisation.</w:t>
                          </w:r>
                        </w:p>
                        <w:p w14:paraId="06B91782" w14:textId="6A0409CF" w:rsidR="00CC5BD7" w:rsidRPr="00CC5BD7" w:rsidRDefault="00CC5BD7" w:rsidP="002A0B65">
                          <w:pPr>
                            <w:rPr>
                              <w:color w:val="000000"/>
                            </w:rPr>
                          </w:pPr>
                        </w:p>
                      </w:txbxContent>
                    </v:textbox>
                  </v:shape>
                </v:group>
                <v:group id="Group 1" o:spid="_x0000_s1030" style="position:absolute;width:28800;height:16770" coordsize="28800,1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">
                  <v:shape id="_x0000_s1031" type="#_x0000_t202" style="position:absolute;width:2880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" fillcolor="#033856">
                    <v:textbox inset="1mm,1mm,1mm,1mm">
                      <w:txbxContent>
                        <w:p w14:paraId="7C901D0C" w14:textId="4FA3417D" w:rsidR="00345BC2" w:rsidRPr="00CC5BD7" w:rsidRDefault="00CC5BD7" w:rsidP="00CC5BD7">
                          <w:pPr>
                            <w:jc w:val="center"/>
                            <w:rPr>
                              <w:b/>
                              <w:bCs/>
                              <w:color w:val="000000"/>
                              <w:sz w:val="36"/>
                              <w:szCs w:val="36"/>
                            </w:rPr>
                          </w:pPr>
                          <w:r w:rsidRPr="00CC5BD7">
                            <w:rPr>
                              <w:b/>
                              <w:bCs/>
                              <w:sz w:val="36"/>
                              <w:szCs w:val="36"/>
                            </w:rPr>
                            <w:t>Mean 6.13%</w:t>
                          </w:r>
                        </w:p>
                      </w:txbxContent>
                    </v:textbox>
                  </v:shape>
                  <v:shape id="_x0000_s1032" type="#_x0000_t202" style="position:absolute;top:3816;width:28797;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" fillcolor="#f2f2f2 [3052]" strokecolor="#033856">
                    <v:textbox inset="1mm,1mm,1mm,1mm">
                      <w:txbxContent>
                        <w:p w14:paraId="7C0E6D16" w14:textId="77777777" w:rsidR="00AE0A46" w:rsidRDefault="00AE0A46" w:rsidP="00AE0A46">
                          <w:r>
                            <w:t>The</w:t>
                          </w:r>
                          <w:r>
                            <w:rPr>
                              <w:spacing w:val="-4"/>
                            </w:rPr>
                            <w:t xml:space="preserve"> </w:t>
                          </w:r>
                          <w:r>
                            <w:t>average</w:t>
                          </w:r>
                          <w:r>
                            <w:rPr>
                              <w:spacing w:val="-4"/>
                            </w:rPr>
                            <w:t xml:space="preserve"> </w:t>
                          </w:r>
                          <w:r>
                            <w:t>difference</w:t>
                          </w:r>
                          <w:r>
                            <w:rPr>
                              <w:spacing w:val="-4"/>
                            </w:rPr>
                            <w:t xml:space="preserve"> </w:t>
                          </w:r>
                          <w:r>
                            <w:t>in</w:t>
                          </w:r>
                          <w:r>
                            <w:rPr>
                              <w:spacing w:val="-4"/>
                            </w:rPr>
                            <w:t xml:space="preserve"> </w:t>
                          </w:r>
                          <w:r>
                            <w:t>gross</w:t>
                          </w:r>
                          <w:r>
                            <w:rPr>
                              <w:spacing w:val="-4"/>
                            </w:rPr>
                            <w:t xml:space="preserve"> </w:t>
                          </w:r>
                          <w:r>
                            <w:t>hourly</w:t>
                          </w:r>
                          <w:r>
                            <w:rPr>
                              <w:spacing w:val="-4"/>
                            </w:rPr>
                            <w:t xml:space="preserve"> </w:t>
                          </w:r>
                          <w:r>
                            <w:t>earnings</w:t>
                          </w:r>
                          <w:r>
                            <w:rPr>
                              <w:spacing w:val="-6"/>
                            </w:rPr>
                            <w:t xml:space="preserve"> </w:t>
                          </w:r>
                          <w:r>
                            <w:t>between</w:t>
                          </w:r>
                          <w:r>
                            <w:rPr>
                              <w:spacing w:val="-2"/>
                            </w:rPr>
                            <w:t xml:space="preserve"> </w:t>
                          </w:r>
                          <w:r>
                            <w:t>men</w:t>
                          </w:r>
                          <w:r>
                            <w:rPr>
                              <w:spacing w:val="-2"/>
                            </w:rPr>
                            <w:t xml:space="preserve"> </w:t>
                          </w:r>
                          <w:r>
                            <w:t>and</w:t>
                          </w:r>
                          <w:r>
                            <w:rPr>
                              <w:spacing w:val="-4"/>
                            </w:rPr>
                            <w:t xml:space="preserve"> </w:t>
                          </w:r>
                          <w:r>
                            <w:t>women, expressed as a percentage of male earnings</w:t>
                          </w:r>
                        </w:p>
                        <w:p w14:paraId="507BE51E" w14:textId="1D6C8CD2" w:rsidR="00AE0A46" w:rsidRDefault="00AE0A46" w:rsidP="00AE0A46">
                          <w:r>
                            <w:t>This</w:t>
                          </w:r>
                          <w:r>
                            <w:rPr>
                              <w:spacing w:val="-2"/>
                            </w:rPr>
                            <w:t xml:space="preserve"> </w:t>
                          </w:r>
                          <w:r>
                            <w:t>means</w:t>
                          </w:r>
                          <w:r>
                            <w:rPr>
                              <w:spacing w:val="-3"/>
                            </w:rPr>
                            <w:t xml:space="preserve"> </w:t>
                          </w:r>
                          <w:r>
                            <w:t>that when</w:t>
                          </w:r>
                          <w:r>
                            <w:rPr>
                              <w:spacing w:val="-1"/>
                            </w:rPr>
                            <w:t xml:space="preserve"> </w:t>
                          </w:r>
                          <w:r>
                            <w:t>comparing</w:t>
                          </w:r>
                          <w:r>
                            <w:rPr>
                              <w:spacing w:val="-1"/>
                            </w:rPr>
                            <w:t xml:space="preserve"> </w:t>
                          </w:r>
                          <w:r>
                            <w:t>mean</w:t>
                          </w:r>
                          <w:r>
                            <w:rPr>
                              <w:spacing w:val="-3"/>
                            </w:rPr>
                            <w:t xml:space="preserve"> </w:t>
                          </w:r>
                          <w:r>
                            <w:t>pay, males earn</w:t>
                          </w:r>
                          <w:r>
                            <w:rPr>
                              <w:spacing w:val="-3"/>
                            </w:rPr>
                            <w:t xml:space="preserve"> </w:t>
                          </w:r>
                          <w:r>
                            <w:t>6.13%</w:t>
                          </w:r>
                          <w:r>
                            <w:rPr>
                              <w:spacing w:val="-3"/>
                            </w:rPr>
                            <w:t xml:space="preserve"> </w:t>
                          </w:r>
                          <w:r>
                            <w:t>more</w:t>
                          </w:r>
                          <w:r>
                            <w:rPr>
                              <w:spacing w:val="-5"/>
                            </w:rPr>
                            <w:t xml:space="preserve"> </w:t>
                          </w:r>
                          <w:r>
                            <w:t>than females within the organisation.</w:t>
                          </w:r>
                        </w:p>
                        <w:p w14:paraId="659F5639" w14:textId="3391D112" w:rsidR="009C050B" w:rsidRPr="00CC5BD7" w:rsidRDefault="009C050B" w:rsidP="00AE0A46">
                          <w:pPr>
                            <w:rPr>
                              <w:color w:val="000000"/>
                            </w:rPr>
                          </w:pPr>
                        </w:p>
                      </w:txbxContent>
                    </v:textbox>
                  </v:shape>
                </v:group>
                <w10:anchorlock/>
              </v:group>
            </w:pict>
          </mc:Fallback>
        </mc:AlternateContent>
      </w:r>
    </w:p>
    <w:p w14:paraId="502872AB" w14:textId="790E653E" w:rsidR="004C00A1" w:rsidRDefault="004C00A1" w:rsidP="00B42A3A">
      <w:pPr>
        <w:pStyle w:val="Heading2"/>
      </w:pPr>
      <w:r>
        <w:t>Pay Quartiles</w:t>
      </w:r>
    </w:p>
    <w:tbl>
      <w:tblPr>
        <w:tblW w:w="5000" w:type="pct"/>
        <w:tblBorders>
          <w:top w:val="single" w:sz="6" w:space="0" w:color="033856"/>
          <w:left w:val="single" w:sz="6" w:space="0" w:color="033856"/>
          <w:bottom w:val="single" w:sz="6" w:space="0" w:color="033856"/>
          <w:right w:val="single" w:sz="6" w:space="0" w:color="033856"/>
          <w:insideH w:val="single" w:sz="6" w:space="0" w:color="033856"/>
          <w:insideV w:val="single" w:sz="6" w:space="0" w:color="033856"/>
        </w:tblBorders>
        <w:tblLayout w:type="fixed"/>
        <w:tblCellMar>
          <w:top w:w="57" w:type="dxa"/>
          <w:left w:w="57" w:type="dxa"/>
          <w:bottom w:w="57" w:type="dxa"/>
          <w:right w:w="57" w:type="dxa"/>
        </w:tblCellMar>
        <w:tblLook w:val="01E0" w:firstRow="1" w:lastRow="1" w:firstColumn="1" w:lastColumn="1" w:noHBand="0" w:noVBand="0"/>
      </w:tblPr>
      <w:tblGrid>
        <w:gridCol w:w="993"/>
        <w:gridCol w:w="2300"/>
        <w:gridCol w:w="2301"/>
        <w:gridCol w:w="2301"/>
        <w:gridCol w:w="2301"/>
      </w:tblGrid>
      <w:tr w:rsidR="004C00A1" w14:paraId="65523AEC" w14:textId="77777777" w:rsidTr="004760C7">
        <w:tc>
          <w:tcPr>
            <w:tcW w:w="993" w:type="dxa"/>
            <w:tcBorders>
              <w:top w:val="nil"/>
              <w:left w:val="nil"/>
              <w:bottom w:val="single" w:sz="6" w:space="0" w:color="033856"/>
              <w:right w:val="single" w:sz="6" w:space="0" w:color="033856"/>
            </w:tcBorders>
          </w:tcPr>
          <w:p w14:paraId="5FFB0256" w14:textId="77777777" w:rsidR="004C00A1" w:rsidRDefault="004C00A1" w:rsidP="004C00A1"/>
        </w:tc>
        <w:tc>
          <w:tcPr>
            <w:tcW w:w="2300" w:type="dxa"/>
            <w:tcBorders>
              <w:left w:val="single" w:sz="6" w:space="0" w:color="033856"/>
            </w:tcBorders>
            <w:shd w:val="clear" w:color="auto" w:fill="F2F2F2" w:themeFill="background1" w:themeFillShade="F2"/>
          </w:tcPr>
          <w:p w14:paraId="3B958F0F" w14:textId="77777777" w:rsidR="004C00A1" w:rsidRPr="009C6D89" w:rsidRDefault="004C00A1" w:rsidP="009C6D89">
            <w:pPr>
              <w:jc w:val="center"/>
              <w:rPr>
                <w:b/>
                <w:color w:val="033856"/>
              </w:rPr>
            </w:pPr>
            <w:r w:rsidRPr="009C6D89">
              <w:rPr>
                <w:b/>
                <w:color w:val="033856"/>
              </w:rPr>
              <w:t>Lower</w:t>
            </w:r>
            <w:r w:rsidRPr="009C6D89">
              <w:rPr>
                <w:b/>
                <w:color w:val="033856"/>
                <w:spacing w:val="-4"/>
              </w:rPr>
              <w:t xml:space="preserve"> </w:t>
            </w:r>
            <w:r w:rsidRPr="009C6D89">
              <w:rPr>
                <w:b/>
                <w:color w:val="033856"/>
                <w:spacing w:val="-2"/>
              </w:rPr>
              <w:t>Quartile</w:t>
            </w:r>
          </w:p>
        </w:tc>
        <w:tc>
          <w:tcPr>
            <w:tcW w:w="2301" w:type="dxa"/>
            <w:shd w:val="clear" w:color="auto" w:fill="F2F2F2" w:themeFill="background1" w:themeFillShade="F2"/>
          </w:tcPr>
          <w:p w14:paraId="10C8EA61" w14:textId="0767F9A4" w:rsidR="004C00A1" w:rsidRPr="009C6D89" w:rsidRDefault="004C00A1" w:rsidP="009C6D89">
            <w:pPr>
              <w:jc w:val="center"/>
              <w:rPr>
                <w:b/>
                <w:color w:val="033856"/>
              </w:rPr>
            </w:pPr>
            <w:r w:rsidRPr="009C6D89">
              <w:rPr>
                <w:b/>
                <w:color w:val="033856"/>
              </w:rPr>
              <w:t>Lower</w:t>
            </w:r>
            <w:r w:rsidRPr="009C6D89">
              <w:rPr>
                <w:b/>
                <w:color w:val="033856"/>
                <w:spacing w:val="-4"/>
              </w:rPr>
              <w:t xml:space="preserve"> </w:t>
            </w:r>
            <w:r w:rsidRPr="009C6D89">
              <w:rPr>
                <w:b/>
                <w:color w:val="033856"/>
                <w:spacing w:val="-2"/>
              </w:rPr>
              <w:t>Middle Quartile</w:t>
            </w:r>
          </w:p>
        </w:tc>
        <w:tc>
          <w:tcPr>
            <w:tcW w:w="2301" w:type="dxa"/>
            <w:shd w:val="clear" w:color="auto" w:fill="F2F2F2" w:themeFill="background1" w:themeFillShade="F2"/>
          </w:tcPr>
          <w:p w14:paraId="16740FCB" w14:textId="7E2913DA" w:rsidR="004C00A1" w:rsidRPr="009C6D89" w:rsidRDefault="004C00A1" w:rsidP="009C6D89">
            <w:pPr>
              <w:jc w:val="center"/>
              <w:rPr>
                <w:b/>
                <w:color w:val="033856"/>
              </w:rPr>
            </w:pPr>
            <w:r w:rsidRPr="009C6D89">
              <w:rPr>
                <w:b/>
                <w:color w:val="033856"/>
              </w:rPr>
              <w:t>Upper</w:t>
            </w:r>
            <w:r w:rsidRPr="009C6D89">
              <w:rPr>
                <w:b/>
                <w:color w:val="033856"/>
                <w:spacing w:val="-3"/>
              </w:rPr>
              <w:t xml:space="preserve"> </w:t>
            </w:r>
            <w:r w:rsidRPr="009C6D89">
              <w:rPr>
                <w:b/>
                <w:color w:val="033856"/>
                <w:spacing w:val="-2"/>
              </w:rPr>
              <w:t>Middle Quartile</w:t>
            </w:r>
          </w:p>
        </w:tc>
        <w:tc>
          <w:tcPr>
            <w:tcW w:w="2301" w:type="dxa"/>
            <w:shd w:val="clear" w:color="auto" w:fill="F2F2F2" w:themeFill="background1" w:themeFillShade="F2"/>
          </w:tcPr>
          <w:p w14:paraId="7D8EAB65" w14:textId="77777777" w:rsidR="004C00A1" w:rsidRPr="009C6D89" w:rsidRDefault="004C00A1" w:rsidP="009C6D89">
            <w:pPr>
              <w:jc w:val="center"/>
              <w:rPr>
                <w:b/>
                <w:color w:val="033856"/>
              </w:rPr>
            </w:pPr>
            <w:r w:rsidRPr="009C6D89">
              <w:rPr>
                <w:b/>
                <w:color w:val="033856"/>
              </w:rPr>
              <w:t>Top</w:t>
            </w:r>
            <w:r w:rsidRPr="009C6D89">
              <w:rPr>
                <w:b/>
                <w:color w:val="033856"/>
                <w:spacing w:val="-5"/>
              </w:rPr>
              <w:t xml:space="preserve"> </w:t>
            </w:r>
            <w:r w:rsidRPr="009C6D89">
              <w:rPr>
                <w:b/>
                <w:color w:val="033856"/>
                <w:spacing w:val="-2"/>
              </w:rPr>
              <w:t>Quartile</w:t>
            </w:r>
          </w:p>
        </w:tc>
      </w:tr>
      <w:tr w:rsidR="004C00A1" w14:paraId="78A13F0E" w14:textId="77777777" w:rsidTr="004760C7">
        <w:tc>
          <w:tcPr>
            <w:tcW w:w="993" w:type="dxa"/>
            <w:tcBorders>
              <w:top w:val="single" w:sz="6" w:space="0" w:color="033856"/>
            </w:tcBorders>
            <w:shd w:val="clear" w:color="auto" w:fill="F2F2F2" w:themeFill="background1" w:themeFillShade="F2"/>
          </w:tcPr>
          <w:p w14:paraId="1EAB6C0B" w14:textId="77777777" w:rsidR="004C00A1" w:rsidRPr="009C6D89" w:rsidRDefault="004C00A1" w:rsidP="004C00A1">
            <w:pPr>
              <w:rPr>
                <w:b/>
                <w:color w:val="033856"/>
              </w:rPr>
            </w:pPr>
            <w:r w:rsidRPr="009C6D89">
              <w:rPr>
                <w:b/>
                <w:color w:val="033856"/>
                <w:spacing w:val="-4"/>
              </w:rPr>
              <w:t>Male</w:t>
            </w:r>
          </w:p>
        </w:tc>
        <w:tc>
          <w:tcPr>
            <w:tcW w:w="2300" w:type="dxa"/>
            <w:shd w:val="clear" w:color="auto" w:fill="F2F2F2" w:themeFill="background1" w:themeFillShade="F2"/>
          </w:tcPr>
          <w:p w14:paraId="315CA296" w14:textId="77777777" w:rsidR="004C00A1" w:rsidRDefault="004C00A1" w:rsidP="009C6D89">
            <w:pPr>
              <w:jc w:val="center"/>
            </w:pPr>
            <w:r>
              <w:rPr>
                <w:spacing w:val="-2"/>
              </w:rPr>
              <w:t>14.69%</w:t>
            </w:r>
          </w:p>
        </w:tc>
        <w:tc>
          <w:tcPr>
            <w:tcW w:w="2301" w:type="dxa"/>
            <w:shd w:val="clear" w:color="auto" w:fill="F2F2F2" w:themeFill="background1" w:themeFillShade="F2"/>
          </w:tcPr>
          <w:p w14:paraId="49D61DFF" w14:textId="77777777" w:rsidR="004C00A1" w:rsidRDefault="004C00A1" w:rsidP="009C6D89">
            <w:pPr>
              <w:jc w:val="center"/>
            </w:pPr>
            <w:r>
              <w:rPr>
                <w:spacing w:val="-2"/>
              </w:rPr>
              <w:t>15.38%</w:t>
            </w:r>
          </w:p>
        </w:tc>
        <w:tc>
          <w:tcPr>
            <w:tcW w:w="2301" w:type="dxa"/>
            <w:shd w:val="clear" w:color="auto" w:fill="F2F2F2" w:themeFill="background1" w:themeFillShade="F2"/>
          </w:tcPr>
          <w:p w14:paraId="3649A0BF" w14:textId="77777777" w:rsidR="004C00A1" w:rsidRDefault="004C00A1" w:rsidP="009C6D89">
            <w:pPr>
              <w:jc w:val="center"/>
            </w:pPr>
            <w:r>
              <w:rPr>
                <w:spacing w:val="-2"/>
              </w:rPr>
              <w:t>13.99%</w:t>
            </w:r>
          </w:p>
        </w:tc>
        <w:tc>
          <w:tcPr>
            <w:tcW w:w="2301" w:type="dxa"/>
            <w:shd w:val="clear" w:color="auto" w:fill="F2F2F2" w:themeFill="background1" w:themeFillShade="F2"/>
          </w:tcPr>
          <w:p w14:paraId="41A88273" w14:textId="77777777" w:rsidR="004C00A1" w:rsidRDefault="004C00A1" w:rsidP="009C6D89">
            <w:pPr>
              <w:jc w:val="center"/>
            </w:pPr>
            <w:r>
              <w:rPr>
                <w:spacing w:val="-2"/>
              </w:rPr>
              <w:t>21.53%</w:t>
            </w:r>
          </w:p>
        </w:tc>
      </w:tr>
      <w:tr w:rsidR="004C00A1" w14:paraId="0F1123EA" w14:textId="77777777" w:rsidTr="004760C7">
        <w:tc>
          <w:tcPr>
            <w:tcW w:w="993" w:type="dxa"/>
            <w:shd w:val="clear" w:color="auto" w:fill="F2F2F2" w:themeFill="background1" w:themeFillShade="F2"/>
          </w:tcPr>
          <w:p w14:paraId="5CFCEEA6" w14:textId="77777777" w:rsidR="004C00A1" w:rsidRPr="009C6D89" w:rsidRDefault="004C00A1" w:rsidP="004C00A1">
            <w:pPr>
              <w:rPr>
                <w:b/>
                <w:color w:val="033856"/>
              </w:rPr>
            </w:pPr>
            <w:r w:rsidRPr="009C6D89">
              <w:rPr>
                <w:b/>
                <w:color w:val="033856"/>
                <w:spacing w:val="-2"/>
              </w:rPr>
              <w:t>Female</w:t>
            </w:r>
          </w:p>
        </w:tc>
        <w:tc>
          <w:tcPr>
            <w:tcW w:w="2300" w:type="dxa"/>
            <w:shd w:val="clear" w:color="auto" w:fill="F2F2F2" w:themeFill="background1" w:themeFillShade="F2"/>
          </w:tcPr>
          <w:p w14:paraId="6E5C4C2A" w14:textId="77777777" w:rsidR="004C00A1" w:rsidRDefault="004C00A1" w:rsidP="009C6D89">
            <w:pPr>
              <w:jc w:val="center"/>
            </w:pPr>
            <w:r>
              <w:rPr>
                <w:spacing w:val="-2"/>
              </w:rPr>
              <w:t>85.31%</w:t>
            </w:r>
          </w:p>
        </w:tc>
        <w:tc>
          <w:tcPr>
            <w:tcW w:w="2301" w:type="dxa"/>
            <w:shd w:val="clear" w:color="auto" w:fill="F2F2F2" w:themeFill="background1" w:themeFillShade="F2"/>
          </w:tcPr>
          <w:p w14:paraId="65E2DCBE" w14:textId="77777777" w:rsidR="004C00A1" w:rsidRDefault="004C00A1" w:rsidP="009C6D89">
            <w:pPr>
              <w:jc w:val="center"/>
            </w:pPr>
            <w:r>
              <w:rPr>
                <w:spacing w:val="-2"/>
              </w:rPr>
              <w:t>84.62%</w:t>
            </w:r>
          </w:p>
        </w:tc>
        <w:tc>
          <w:tcPr>
            <w:tcW w:w="2301" w:type="dxa"/>
            <w:shd w:val="clear" w:color="auto" w:fill="F2F2F2" w:themeFill="background1" w:themeFillShade="F2"/>
          </w:tcPr>
          <w:p w14:paraId="4B3B5E08" w14:textId="77777777" w:rsidR="004C00A1" w:rsidRDefault="004C00A1" w:rsidP="009C6D89">
            <w:pPr>
              <w:jc w:val="center"/>
            </w:pPr>
            <w:r>
              <w:rPr>
                <w:spacing w:val="-2"/>
              </w:rPr>
              <w:t>86.01%</w:t>
            </w:r>
          </w:p>
        </w:tc>
        <w:tc>
          <w:tcPr>
            <w:tcW w:w="2301" w:type="dxa"/>
            <w:shd w:val="clear" w:color="auto" w:fill="F2F2F2" w:themeFill="background1" w:themeFillShade="F2"/>
          </w:tcPr>
          <w:p w14:paraId="3F934028" w14:textId="77777777" w:rsidR="004C00A1" w:rsidRDefault="004C00A1" w:rsidP="009C6D89">
            <w:pPr>
              <w:jc w:val="center"/>
            </w:pPr>
            <w:r>
              <w:rPr>
                <w:spacing w:val="-2"/>
              </w:rPr>
              <w:t>78.47%</w:t>
            </w:r>
          </w:p>
        </w:tc>
      </w:tr>
    </w:tbl>
    <w:p w14:paraId="0C1FCBDA" w14:textId="77777777" w:rsidR="00E67818" w:rsidRDefault="00E67818" w:rsidP="00E67818">
      <w:r>
        <w:t>Sandwell</w:t>
      </w:r>
      <w:r>
        <w:rPr>
          <w:spacing w:val="-6"/>
        </w:rPr>
        <w:t xml:space="preserve"> </w:t>
      </w:r>
      <w:r>
        <w:t>Children’s</w:t>
      </w:r>
      <w:r>
        <w:rPr>
          <w:spacing w:val="-4"/>
        </w:rPr>
        <w:t xml:space="preserve"> </w:t>
      </w:r>
      <w:r>
        <w:t>Trust</w:t>
      </w:r>
      <w:r>
        <w:rPr>
          <w:spacing w:val="-3"/>
        </w:rPr>
        <w:t xml:space="preserve"> </w:t>
      </w:r>
      <w:r>
        <w:t>does</w:t>
      </w:r>
      <w:r>
        <w:rPr>
          <w:spacing w:val="-6"/>
        </w:rPr>
        <w:t xml:space="preserve"> </w:t>
      </w:r>
      <w:r>
        <w:t>not</w:t>
      </w:r>
      <w:r>
        <w:rPr>
          <w:spacing w:val="-5"/>
        </w:rPr>
        <w:t xml:space="preserve"> </w:t>
      </w:r>
      <w:r>
        <w:t>pay</w:t>
      </w:r>
      <w:r>
        <w:rPr>
          <w:spacing w:val="-6"/>
        </w:rPr>
        <w:t xml:space="preserve"> </w:t>
      </w:r>
      <w:r>
        <w:t>bonuses,</w:t>
      </w:r>
      <w:r>
        <w:rPr>
          <w:spacing w:val="-5"/>
        </w:rPr>
        <w:t xml:space="preserve"> </w:t>
      </w:r>
      <w:r>
        <w:t>therefore</w:t>
      </w:r>
      <w:r>
        <w:rPr>
          <w:spacing w:val="-5"/>
        </w:rPr>
        <w:t xml:space="preserve"> </w:t>
      </w:r>
      <w:r>
        <w:t>there</w:t>
      </w:r>
      <w:r>
        <w:rPr>
          <w:spacing w:val="-3"/>
        </w:rPr>
        <w:t xml:space="preserve"> </w:t>
      </w:r>
      <w:r>
        <w:t>is</w:t>
      </w:r>
      <w:r>
        <w:rPr>
          <w:spacing w:val="-6"/>
        </w:rPr>
        <w:t xml:space="preserve"> </w:t>
      </w:r>
      <w:r>
        <w:t>no</w:t>
      </w:r>
      <w:r>
        <w:rPr>
          <w:spacing w:val="-4"/>
        </w:rPr>
        <w:t xml:space="preserve"> </w:t>
      </w:r>
      <w:r>
        <w:t>data</w:t>
      </w:r>
      <w:r>
        <w:rPr>
          <w:spacing w:val="-4"/>
        </w:rPr>
        <w:t xml:space="preserve"> </w:t>
      </w:r>
      <w:r>
        <w:t>to</w:t>
      </w:r>
      <w:r>
        <w:rPr>
          <w:spacing w:val="-6"/>
        </w:rPr>
        <w:t xml:space="preserve"> </w:t>
      </w:r>
      <w:r>
        <w:t>report</w:t>
      </w:r>
      <w:r>
        <w:rPr>
          <w:spacing w:val="-7"/>
        </w:rPr>
        <w:t xml:space="preserve"> </w:t>
      </w:r>
      <w:r>
        <w:t>for</w:t>
      </w:r>
      <w:r>
        <w:rPr>
          <w:spacing w:val="-3"/>
        </w:rPr>
        <w:t xml:space="preserve"> </w:t>
      </w:r>
      <w:r>
        <w:t>bonus</w:t>
      </w:r>
      <w:r>
        <w:rPr>
          <w:spacing w:val="-5"/>
        </w:rPr>
        <w:t xml:space="preserve"> </w:t>
      </w:r>
      <w:r>
        <w:rPr>
          <w:spacing w:val="-2"/>
        </w:rPr>
        <w:t>payments.</w:t>
      </w:r>
    </w:p>
    <w:p w14:paraId="3ADC3127" w14:textId="77777777" w:rsidR="00E67818" w:rsidRDefault="00E67818" w:rsidP="00E67818">
      <w:r>
        <w:t>Under legislation that came into</w:t>
      </w:r>
      <w:r>
        <w:rPr>
          <w:spacing w:val="-1"/>
        </w:rPr>
        <w:t xml:space="preserve"> </w:t>
      </w:r>
      <w:r>
        <w:t>force in April 2017, all employers with more than 250 employees are re- quired</w:t>
      </w:r>
      <w:r>
        <w:rPr>
          <w:spacing w:val="-4"/>
        </w:rPr>
        <w:t xml:space="preserve"> </w:t>
      </w:r>
      <w:r>
        <w:t>to</w:t>
      </w:r>
      <w:r>
        <w:rPr>
          <w:spacing w:val="-4"/>
        </w:rPr>
        <w:t xml:space="preserve"> </w:t>
      </w:r>
      <w:r>
        <w:t>publish</w:t>
      </w:r>
      <w:r>
        <w:rPr>
          <w:spacing w:val="-2"/>
        </w:rPr>
        <w:t xml:space="preserve"> </w:t>
      </w:r>
      <w:r>
        <w:t>their</w:t>
      </w:r>
      <w:r>
        <w:rPr>
          <w:spacing w:val="-5"/>
        </w:rPr>
        <w:t xml:space="preserve"> </w:t>
      </w:r>
      <w:r>
        <w:t>gender</w:t>
      </w:r>
      <w:r>
        <w:rPr>
          <w:spacing w:val="-1"/>
        </w:rPr>
        <w:t xml:space="preserve"> </w:t>
      </w:r>
      <w:r>
        <w:t>pay</w:t>
      </w:r>
      <w:r>
        <w:rPr>
          <w:spacing w:val="-5"/>
        </w:rPr>
        <w:t xml:space="preserve"> </w:t>
      </w:r>
      <w:r>
        <w:t>gap.</w:t>
      </w:r>
      <w:r>
        <w:rPr>
          <w:spacing w:val="-5"/>
        </w:rPr>
        <w:t xml:space="preserve"> </w:t>
      </w:r>
      <w:r>
        <w:t>The</w:t>
      </w:r>
      <w:r>
        <w:rPr>
          <w:spacing w:val="-2"/>
        </w:rPr>
        <w:t xml:space="preserve"> </w:t>
      </w:r>
      <w:r>
        <w:t>Equalities</w:t>
      </w:r>
      <w:r>
        <w:rPr>
          <w:spacing w:val="-2"/>
        </w:rPr>
        <w:t xml:space="preserve"> </w:t>
      </w:r>
      <w:r>
        <w:t>Act</w:t>
      </w:r>
      <w:r>
        <w:rPr>
          <w:spacing w:val="-3"/>
        </w:rPr>
        <w:t xml:space="preserve"> </w:t>
      </w:r>
      <w:r>
        <w:t>2010</w:t>
      </w:r>
      <w:r>
        <w:rPr>
          <w:spacing w:val="-4"/>
        </w:rPr>
        <w:t xml:space="preserve"> </w:t>
      </w:r>
      <w:r>
        <w:t>(Gender</w:t>
      </w:r>
      <w:r>
        <w:rPr>
          <w:spacing w:val="-1"/>
        </w:rPr>
        <w:t xml:space="preserve"> </w:t>
      </w:r>
      <w:r>
        <w:t>Pay</w:t>
      </w:r>
      <w:r>
        <w:rPr>
          <w:spacing w:val="-4"/>
        </w:rPr>
        <w:t xml:space="preserve"> </w:t>
      </w:r>
      <w:r>
        <w:t>Gap</w:t>
      </w:r>
      <w:r>
        <w:rPr>
          <w:spacing w:val="-2"/>
        </w:rPr>
        <w:t xml:space="preserve"> </w:t>
      </w:r>
      <w:r>
        <w:t>Information</w:t>
      </w:r>
      <w:r>
        <w:rPr>
          <w:spacing w:val="-2"/>
        </w:rPr>
        <w:t xml:space="preserve"> </w:t>
      </w:r>
      <w:r>
        <w:t>Regulation 2017) aims to tackle the gender pay gap that exists in organisations and provide transparency around gender pay gap reporting.</w:t>
      </w:r>
    </w:p>
    <w:p w14:paraId="2C567F88" w14:textId="77777777" w:rsidR="00E67818" w:rsidRDefault="00E67818" w:rsidP="00E67818">
      <w:r>
        <w:t>The</w:t>
      </w:r>
      <w:r>
        <w:rPr>
          <w:spacing w:val="-3"/>
        </w:rPr>
        <w:t xml:space="preserve"> </w:t>
      </w:r>
      <w:r>
        <w:t>causes</w:t>
      </w:r>
      <w:r>
        <w:rPr>
          <w:spacing w:val="-3"/>
        </w:rPr>
        <w:t xml:space="preserve"> </w:t>
      </w:r>
      <w:r>
        <w:t>of the</w:t>
      </w:r>
      <w:r>
        <w:rPr>
          <w:spacing w:val="-6"/>
        </w:rPr>
        <w:t xml:space="preserve"> </w:t>
      </w:r>
      <w:r>
        <w:t>gender pay</w:t>
      </w:r>
      <w:r>
        <w:rPr>
          <w:spacing w:val="-5"/>
        </w:rPr>
        <w:t xml:space="preserve"> </w:t>
      </w:r>
      <w:r>
        <w:t>gap</w:t>
      </w:r>
      <w:r>
        <w:rPr>
          <w:spacing w:val="-1"/>
        </w:rPr>
        <w:t xml:space="preserve"> </w:t>
      </w:r>
      <w:r>
        <w:t>are</w:t>
      </w:r>
      <w:r>
        <w:rPr>
          <w:spacing w:val="-1"/>
        </w:rPr>
        <w:t xml:space="preserve"> </w:t>
      </w:r>
      <w:r>
        <w:t>complex</w:t>
      </w:r>
      <w:r>
        <w:rPr>
          <w:spacing w:val="-3"/>
        </w:rPr>
        <w:t xml:space="preserve"> </w:t>
      </w:r>
      <w:r>
        <w:t>and</w:t>
      </w:r>
      <w:r>
        <w:rPr>
          <w:spacing w:val="-1"/>
        </w:rPr>
        <w:t xml:space="preserve"> </w:t>
      </w:r>
      <w:r>
        <w:t>overlapping and</w:t>
      </w:r>
      <w:r>
        <w:rPr>
          <w:spacing w:val="-3"/>
        </w:rPr>
        <w:t xml:space="preserve"> </w:t>
      </w:r>
      <w:r>
        <w:t>there</w:t>
      </w:r>
      <w:r>
        <w:rPr>
          <w:spacing w:val="-3"/>
        </w:rPr>
        <w:t xml:space="preserve"> </w:t>
      </w:r>
      <w:r>
        <w:t>is</w:t>
      </w:r>
      <w:r>
        <w:rPr>
          <w:spacing w:val="-1"/>
        </w:rPr>
        <w:t xml:space="preserve"> </w:t>
      </w:r>
      <w:r>
        <w:t>no</w:t>
      </w:r>
      <w:r>
        <w:rPr>
          <w:spacing w:val="-3"/>
        </w:rPr>
        <w:t xml:space="preserve"> </w:t>
      </w:r>
      <w:r>
        <w:t>single</w:t>
      </w:r>
      <w:r>
        <w:rPr>
          <w:spacing w:val="-1"/>
        </w:rPr>
        <w:t xml:space="preserve"> </w:t>
      </w:r>
      <w:r>
        <w:t xml:space="preserve">over-riding reason why the gender pay gap exists. </w:t>
      </w:r>
    </w:p>
    <w:p w14:paraId="0D67607F" w14:textId="77777777" w:rsidR="00E67818" w:rsidRDefault="00E67818" w:rsidP="00E67818">
      <w:r>
        <w:t xml:space="preserve">The mean gender pay gap for Sandwell Children’s Trust is </w:t>
      </w:r>
      <w:r>
        <w:rPr>
          <w:b/>
        </w:rPr>
        <w:t xml:space="preserve">6.13% </w:t>
      </w:r>
      <w:r>
        <w:t>and the</w:t>
      </w:r>
      <w:r>
        <w:rPr>
          <w:spacing w:val="-1"/>
        </w:rPr>
        <w:t xml:space="preserve"> </w:t>
      </w:r>
      <w:r>
        <w:t xml:space="preserve">median gender pay gap is </w:t>
      </w:r>
      <w:r>
        <w:rPr>
          <w:b/>
        </w:rPr>
        <w:t xml:space="preserve">2.38%. </w:t>
      </w:r>
      <w:r>
        <w:t>The</w:t>
      </w:r>
      <w:r>
        <w:rPr>
          <w:spacing w:val="-3"/>
        </w:rPr>
        <w:t xml:space="preserve"> </w:t>
      </w:r>
      <w:r>
        <w:t>data</w:t>
      </w:r>
      <w:r>
        <w:rPr>
          <w:spacing w:val="-2"/>
        </w:rPr>
        <w:t xml:space="preserve"> </w:t>
      </w:r>
      <w:r>
        <w:t>published has been calculated in line with</w:t>
      </w:r>
      <w:r>
        <w:rPr>
          <w:spacing w:val="-2"/>
        </w:rPr>
        <w:t xml:space="preserve"> </w:t>
      </w:r>
      <w:r>
        <w:t>the</w:t>
      </w:r>
      <w:r>
        <w:rPr>
          <w:spacing w:val="-2"/>
        </w:rPr>
        <w:t xml:space="preserve"> </w:t>
      </w:r>
      <w:r>
        <w:t>reporting legislation. This includes</w:t>
      </w:r>
      <w:r>
        <w:rPr>
          <w:spacing w:val="-1"/>
        </w:rPr>
        <w:t xml:space="preserve"> </w:t>
      </w:r>
      <w:r>
        <w:t xml:space="preserve">calculating an hourly rate for all full pay relevant employees as </w:t>
      </w:r>
      <w:proofErr w:type="gramStart"/>
      <w:r>
        <w:t>at</w:t>
      </w:r>
      <w:proofErr w:type="gramEnd"/>
      <w:r>
        <w:t xml:space="preserve"> 5 April 2025.</w:t>
      </w:r>
    </w:p>
    <w:p w14:paraId="51EDA4AE" w14:textId="77777777" w:rsidR="00E67818" w:rsidRDefault="00E67818" w:rsidP="00E67818">
      <w:r>
        <w:t>Sandwell Children’s Trust is committed to reducing its Gender Pay Gap and as an organisation is looking at ways that this can be achieved through our Equity, Diversity and Inclusion Strategy.</w:t>
      </w:r>
    </w:p>
    <w:p w14:paraId="360DB987" w14:textId="6466EED6" w:rsidR="009C6D89" w:rsidRDefault="00E67818" w:rsidP="00E67818">
      <w:r>
        <w:t>Sandwell Children’s Trust can demonstrate that it pays men and women the same salary for work of equal value through</w:t>
      </w:r>
      <w:r>
        <w:rPr>
          <w:spacing w:val="-2"/>
        </w:rPr>
        <w:t xml:space="preserve"> </w:t>
      </w:r>
      <w:r>
        <w:t>the implementation of the Sandwell MBC Single Status agreement in 2010</w:t>
      </w:r>
      <w:r>
        <w:rPr>
          <w:spacing w:val="-2"/>
        </w:rPr>
        <w:t xml:space="preserve"> </w:t>
      </w:r>
      <w:r>
        <w:t>and</w:t>
      </w:r>
      <w:r>
        <w:rPr>
          <w:spacing w:val="-2"/>
        </w:rPr>
        <w:t xml:space="preserve"> </w:t>
      </w:r>
      <w:r>
        <w:t>uses the nationally negotiated pay spine as the basis for its local grading structure.</w:t>
      </w:r>
    </w:p>
    <w:p w14:paraId="453A1CB6" w14:textId="77777777" w:rsidR="009C6D89" w:rsidRDefault="009C6D89" w:rsidP="00E67818"/>
    <w:p w14:paraId="776F6151" w14:textId="765A0985" w:rsidR="009C6D89" w:rsidRDefault="009C6D89" w:rsidP="00E67818">
      <w:r w:rsidRPr="009C6D89">
        <w:rPr>
          <w:b/>
          <w:bCs/>
        </w:rPr>
        <w:t>Tara</w:t>
      </w:r>
      <w:r w:rsidRPr="009C6D89">
        <w:rPr>
          <w:b/>
          <w:bCs/>
          <w:spacing w:val="-4"/>
        </w:rPr>
        <w:t xml:space="preserve"> </w:t>
      </w:r>
      <w:r w:rsidRPr="009C6D89">
        <w:rPr>
          <w:b/>
          <w:bCs/>
          <w:spacing w:val="-2"/>
        </w:rPr>
        <w:t>Malik</w:t>
      </w:r>
      <w:r>
        <w:br/>
        <w:t>Director</w:t>
      </w:r>
      <w:r>
        <w:rPr>
          <w:spacing w:val="-1"/>
        </w:rPr>
        <w:t xml:space="preserve"> </w:t>
      </w:r>
      <w:r>
        <w:t xml:space="preserve">of </w:t>
      </w:r>
      <w:r>
        <w:rPr>
          <w:spacing w:val="-2"/>
        </w:rPr>
        <w:t>Resources and Governance</w:t>
      </w:r>
    </w:p>
    <w:p w14:paraId="7A2BF9D5" w14:textId="77777777" w:rsidR="002A0B65" w:rsidRPr="00B94BAF" w:rsidRDefault="002A0B65" w:rsidP="00E67818"/>
    <w:sectPr w:rsidR="002A0B65" w:rsidRPr="00B94BAF" w:rsidSect="00F03075">
      <w:headerReference w:type="even" r:id="rId9"/>
      <w:headerReference w:type="default" r:id="rId10"/>
      <w:footerReference w:type="default" r:id="rId11"/>
      <w:headerReference w:type="first" r:id="rId12"/>
      <w:pgSz w:w="11906" w:h="16838"/>
      <w:pgMar w:top="851" w:right="851" w:bottom="851" w:left="85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7F0C" w14:textId="77777777" w:rsidR="00ED7337" w:rsidRDefault="00ED7337" w:rsidP="00041B9D">
      <w:pPr>
        <w:spacing w:before="0" w:after="0"/>
      </w:pPr>
      <w:r>
        <w:separator/>
      </w:r>
    </w:p>
  </w:endnote>
  <w:endnote w:type="continuationSeparator" w:id="0">
    <w:p w14:paraId="4A41BE9E" w14:textId="77777777" w:rsidR="00ED7337" w:rsidRDefault="00ED7337" w:rsidP="00041B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C886" w14:textId="22463F10" w:rsidR="00041B9D" w:rsidRDefault="002E6F1D">
    <w:pPr>
      <w:pStyle w:val="Footer"/>
    </w:pPr>
    <w:r>
      <w:rPr>
        <w:noProof/>
      </w:rPr>
      <mc:AlternateContent>
        <mc:Choice Requires="wps">
          <w:drawing>
            <wp:anchor distT="45720" distB="45720" distL="114300" distR="114300" simplePos="0" relativeHeight="251661312" behindDoc="0" locked="0" layoutInCell="1" allowOverlap="1" wp14:anchorId="22CEEC5F" wp14:editId="64BA7FC3">
              <wp:simplePos x="0" y="0"/>
              <wp:positionH relativeFrom="column">
                <wp:posOffset>1797050</wp:posOffset>
              </wp:positionH>
              <wp:positionV relativeFrom="paragraph">
                <wp:posOffset>331470</wp:posOffset>
              </wp:positionV>
              <wp:extent cx="3960495" cy="249555"/>
              <wp:effectExtent l="0" t="0" r="0" b="0"/>
              <wp:wrapSquare wrapText="bothSides"/>
              <wp:docPr id="517062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249555"/>
                      </a:xfrm>
                      <a:prstGeom prst="rect">
                        <a:avLst/>
                      </a:prstGeom>
                      <a:noFill/>
                      <a:ln w="9525">
                        <a:noFill/>
                        <a:miter lim="800000"/>
                        <a:headEnd/>
                        <a:tailEnd/>
                      </a:ln>
                    </wps:spPr>
                    <wps:txbx>
                      <w:txbxContent>
                        <w:p w14:paraId="78A82600" w14:textId="6D30327A" w:rsidR="0048474E" w:rsidRPr="009C6D89" w:rsidRDefault="00F03075" w:rsidP="0048474E">
                          <w:pPr>
                            <w:pStyle w:val="Footer"/>
                            <w:rPr>
                              <w:b/>
                              <w:bCs/>
                              <w:color w:val="FFFFFF" w:themeColor="background1"/>
                            </w:rPr>
                          </w:pPr>
                          <w:r w:rsidRPr="009C6D89">
                            <w:rPr>
                              <w:b/>
                              <w:bCs/>
                              <w:color w:val="FFFFFF"/>
                            </w:rPr>
                            <w:t>Gender</w:t>
                          </w:r>
                          <w:r w:rsidRPr="009C6D89">
                            <w:rPr>
                              <w:b/>
                              <w:bCs/>
                              <w:color w:val="FFFFFF"/>
                              <w:spacing w:val="-3"/>
                            </w:rPr>
                            <w:t xml:space="preserve"> </w:t>
                          </w:r>
                          <w:r w:rsidRPr="009C6D89">
                            <w:rPr>
                              <w:b/>
                              <w:bCs/>
                              <w:color w:val="FFFFFF"/>
                            </w:rPr>
                            <w:t>Pay</w:t>
                          </w:r>
                          <w:r w:rsidRPr="009C6D89">
                            <w:rPr>
                              <w:b/>
                              <w:bCs/>
                              <w:color w:val="FFFFFF"/>
                              <w:spacing w:val="-2"/>
                            </w:rPr>
                            <w:t xml:space="preserve"> </w:t>
                          </w:r>
                          <w:r w:rsidRPr="009C6D89">
                            <w:rPr>
                              <w:b/>
                              <w:bCs/>
                              <w:color w:val="FFFFFF"/>
                            </w:rPr>
                            <w:t>Gap</w:t>
                          </w:r>
                          <w:r w:rsidRPr="009C6D89">
                            <w:rPr>
                              <w:b/>
                              <w:bCs/>
                              <w:color w:val="FFFFFF"/>
                              <w:spacing w:val="-2"/>
                            </w:rPr>
                            <w:t xml:space="preserve"> </w:t>
                          </w:r>
                          <w:r w:rsidRPr="009C6D89">
                            <w:rPr>
                              <w:b/>
                              <w:bCs/>
                              <w:color w:val="FFFFFF"/>
                            </w:rPr>
                            <w:t>Reporting 2025 - 2026</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CEEC5F" id="_x0000_t202" coordsize="21600,21600" o:spt="202" path="m,l,21600r21600,l21600,xe">
              <v:stroke joinstyle="miter"/>
              <v:path gradientshapeok="t" o:connecttype="rect"/>
            </v:shapetype>
            <v:shape id="Text Box 2" o:spid="_x0000_s1033" type="#_x0000_t202" style="position:absolute;margin-left:141.5pt;margin-top:26.1pt;width:311.85pt;height:1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" filled="f" stroked="f">
              <v:textbox inset=",0,,0">
                <w:txbxContent>
                  <w:p w14:paraId="78A82600" w14:textId="6D30327A" w:rsidR="0048474E" w:rsidRPr="009C6D89" w:rsidRDefault="00F03075" w:rsidP="0048474E">
                    <w:pPr>
                      <w:pStyle w:val="Footer"/>
                      <w:rPr>
                        <w:b/>
                        <w:bCs/>
                        <w:color w:val="FFFFFF" w:themeColor="background1"/>
                      </w:rPr>
                    </w:pPr>
                    <w:r w:rsidRPr="009C6D89">
                      <w:rPr>
                        <w:b/>
                        <w:bCs/>
                        <w:color w:val="FFFFFF"/>
                      </w:rPr>
                      <w:t>Gender</w:t>
                    </w:r>
                    <w:r w:rsidRPr="009C6D89">
                      <w:rPr>
                        <w:b/>
                        <w:bCs/>
                        <w:color w:val="FFFFFF"/>
                        <w:spacing w:val="-3"/>
                      </w:rPr>
                      <w:t xml:space="preserve"> </w:t>
                    </w:r>
                    <w:r w:rsidRPr="009C6D89">
                      <w:rPr>
                        <w:b/>
                        <w:bCs/>
                        <w:color w:val="FFFFFF"/>
                      </w:rPr>
                      <w:t>Pay</w:t>
                    </w:r>
                    <w:r w:rsidRPr="009C6D89">
                      <w:rPr>
                        <w:b/>
                        <w:bCs/>
                        <w:color w:val="FFFFFF"/>
                        <w:spacing w:val="-2"/>
                      </w:rPr>
                      <w:t xml:space="preserve"> </w:t>
                    </w:r>
                    <w:r w:rsidRPr="009C6D89">
                      <w:rPr>
                        <w:b/>
                        <w:bCs/>
                        <w:color w:val="FFFFFF"/>
                      </w:rPr>
                      <w:t>Gap</w:t>
                    </w:r>
                    <w:r w:rsidRPr="009C6D89">
                      <w:rPr>
                        <w:b/>
                        <w:bCs/>
                        <w:color w:val="FFFFFF"/>
                        <w:spacing w:val="-2"/>
                      </w:rPr>
                      <w:t xml:space="preserve"> </w:t>
                    </w:r>
                    <w:r w:rsidRPr="009C6D89">
                      <w:rPr>
                        <w:b/>
                        <w:bCs/>
                        <w:color w:val="FFFFFF"/>
                      </w:rPr>
                      <w:t>Reporting 2025 - 2026</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EA88" w14:textId="77777777" w:rsidR="00ED7337" w:rsidRDefault="00ED7337" w:rsidP="00041B9D">
      <w:pPr>
        <w:spacing w:before="0" w:after="0"/>
      </w:pPr>
      <w:r>
        <w:separator/>
      </w:r>
    </w:p>
  </w:footnote>
  <w:footnote w:type="continuationSeparator" w:id="0">
    <w:p w14:paraId="7B10DB85" w14:textId="77777777" w:rsidR="00ED7337" w:rsidRDefault="00ED7337" w:rsidP="00041B9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6640" w14:textId="1AF528CC" w:rsidR="00041B9D" w:rsidRDefault="009D1355">
    <w:pPr>
      <w:pStyle w:val="Header"/>
    </w:pPr>
    <w:r>
      <w:rPr>
        <w:noProof/>
      </w:rPr>
      <w:pict w14:anchorId="4A2AD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9704" o:spid="_x0000_s1035" type="#_x0000_t75" style="position:absolute;margin-left:0;margin-top:0;width:595.4pt;height:842.15pt;z-index:-251653120;mso-position-horizontal:center;mso-position-horizontal-relative:margin;mso-position-vertical:center;mso-position-vertical-relative:margin" o:allowincell="f">
          <v:imagedata r:id="rId1" o:title="EMT Pages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835" w14:textId="69990895" w:rsidR="00041B9D" w:rsidRDefault="009D1355" w:rsidP="005326A4">
    <w:pPr>
      <w:pStyle w:val="Header"/>
      <w:spacing w:before="100" w:after="100"/>
    </w:pPr>
    <w:r>
      <w:rPr>
        <w:noProof/>
      </w:rPr>
      <w:pict w14:anchorId="2EEB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9705" o:spid="_x0000_s1036" type="#_x0000_t75" style="position:absolute;margin-left:-42.4pt;margin-top:-42.5pt;width:595.4pt;height:842.15pt;z-index:-251652096;mso-position-horizontal-relative:margin;mso-position-vertical-relative:margin" o:allowincell="f">
          <v:imagedata r:id="rId1" o:title="EMT Pages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ABF0" w14:textId="113C1BBC" w:rsidR="00041B9D" w:rsidRDefault="009D1355">
    <w:pPr>
      <w:pStyle w:val="Header"/>
    </w:pPr>
    <w:r>
      <w:rPr>
        <w:noProof/>
      </w:rPr>
      <w:pict w14:anchorId="4A00C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9703" o:spid="_x0000_s1034" type="#_x0000_t75" style="position:absolute;margin-left:0;margin-top:0;width:595.4pt;height:842.15pt;z-index:-251654144;mso-position-horizontal:center;mso-position-horizontal-relative:margin;mso-position-vertical:center;mso-position-vertical-relative:margin" o:allowincell="f">
          <v:imagedata r:id="rId1" o:title="EMT Pages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B32"/>
    <w:multiLevelType w:val="multilevel"/>
    <w:tmpl w:val="4E16FE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4A62C8"/>
    <w:multiLevelType w:val="hybridMultilevel"/>
    <w:tmpl w:val="C42A28E0"/>
    <w:lvl w:ilvl="0" w:tplc="8F622860">
      <w:start w:val="1"/>
      <w:numFmt w:val="bullet"/>
      <w:lvlText w:val=""/>
      <w:lvlJc w:val="left"/>
      <w:pPr>
        <w:ind w:left="720" w:hanging="360"/>
      </w:pPr>
      <w:rPr>
        <w:rFonts w:ascii="Symbol" w:hAnsi="Symbol" w:hint="default"/>
        <w:u w:color="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12564"/>
    <w:multiLevelType w:val="hybridMultilevel"/>
    <w:tmpl w:val="5EE879EC"/>
    <w:lvl w:ilvl="0" w:tplc="EA5422F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D6AEF"/>
    <w:multiLevelType w:val="hybridMultilevel"/>
    <w:tmpl w:val="3CCE3C48"/>
    <w:lvl w:ilvl="0" w:tplc="EA5422F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827C6"/>
    <w:multiLevelType w:val="hybridMultilevel"/>
    <w:tmpl w:val="D5F488CC"/>
    <w:lvl w:ilvl="0" w:tplc="E05CAEA2">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95C73"/>
    <w:multiLevelType w:val="hybridMultilevel"/>
    <w:tmpl w:val="E8186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50D57"/>
    <w:multiLevelType w:val="hybridMultilevel"/>
    <w:tmpl w:val="F1E20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72E80"/>
    <w:multiLevelType w:val="hybridMultilevel"/>
    <w:tmpl w:val="A1967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67E1D"/>
    <w:multiLevelType w:val="hybridMultilevel"/>
    <w:tmpl w:val="CCE8804A"/>
    <w:lvl w:ilvl="0" w:tplc="8F622860">
      <w:start w:val="1"/>
      <w:numFmt w:val="bullet"/>
      <w:lvlText w:val=""/>
      <w:lvlJc w:val="left"/>
      <w:pPr>
        <w:ind w:left="720" w:hanging="360"/>
      </w:pPr>
      <w:rPr>
        <w:rFonts w:ascii="Symbol" w:hAnsi="Symbol" w:hint="default"/>
        <w:u w:color="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B4EEB"/>
    <w:multiLevelType w:val="hybridMultilevel"/>
    <w:tmpl w:val="142C2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716349"/>
    <w:multiLevelType w:val="hybridMultilevel"/>
    <w:tmpl w:val="438250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8138038">
    <w:abstractNumId w:val="4"/>
  </w:num>
  <w:num w:numId="2" w16cid:durableId="431704897">
    <w:abstractNumId w:val="6"/>
  </w:num>
  <w:num w:numId="3" w16cid:durableId="1568570688">
    <w:abstractNumId w:val="7"/>
  </w:num>
  <w:num w:numId="4" w16cid:durableId="314800127">
    <w:abstractNumId w:val="9"/>
  </w:num>
  <w:num w:numId="5" w16cid:durableId="1924677470">
    <w:abstractNumId w:val="5"/>
  </w:num>
  <w:num w:numId="6" w16cid:durableId="86343288">
    <w:abstractNumId w:val="3"/>
  </w:num>
  <w:num w:numId="7" w16cid:durableId="812674570">
    <w:abstractNumId w:val="0"/>
  </w:num>
  <w:num w:numId="8" w16cid:durableId="1098718502">
    <w:abstractNumId w:val="10"/>
  </w:num>
  <w:num w:numId="9" w16cid:durableId="1958826950">
    <w:abstractNumId w:val="2"/>
  </w:num>
  <w:num w:numId="10" w16cid:durableId="386535059">
    <w:abstractNumId w:val="8"/>
  </w:num>
  <w:num w:numId="11" w16cid:durableId="67557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17"/>
    <w:rsid w:val="00003B02"/>
    <w:rsid w:val="00041B9D"/>
    <w:rsid w:val="0005663D"/>
    <w:rsid w:val="000732C6"/>
    <w:rsid w:val="000B15A1"/>
    <w:rsid w:val="000F2D83"/>
    <w:rsid w:val="001330F7"/>
    <w:rsid w:val="00145797"/>
    <w:rsid w:val="001B58C5"/>
    <w:rsid w:val="001C2050"/>
    <w:rsid w:val="001E79AD"/>
    <w:rsid w:val="00232812"/>
    <w:rsid w:val="00233222"/>
    <w:rsid w:val="002454B9"/>
    <w:rsid w:val="00246D47"/>
    <w:rsid w:val="0028222F"/>
    <w:rsid w:val="002A0B65"/>
    <w:rsid w:val="002B5602"/>
    <w:rsid w:val="002C4685"/>
    <w:rsid w:val="002E6F1D"/>
    <w:rsid w:val="0032030E"/>
    <w:rsid w:val="00345BC2"/>
    <w:rsid w:val="00363B28"/>
    <w:rsid w:val="00367614"/>
    <w:rsid w:val="00367733"/>
    <w:rsid w:val="00393C96"/>
    <w:rsid w:val="003E5395"/>
    <w:rsid w:val="0040164F"/>
    <w:rsid w:val="00454635"/>
    <w:rsid w:val="004760C7"/>
    <w:rsid w:val="004775F7"/>
    <w:rsid w:val="0048474E"/>
    <w:rsid w:val="004A1C27"/>
    <w:rsid w:val="004A5CC4"/>
    <w:rsid w:val="004C00A1"/>
    <w:rsid w:val="004E1C09"/>
    <w:rsid w:val="005021D8"/>
    <w:rsid w:val="005027DC"/>
    <w:rsid w:val="00507482"/>
    <w:rsid w:val="005275A1"/>
    <w:rsid w:val="005326A4"/>
    <w:rsid w:val="00551AE7"/>
    <w:rsid w:val="005B4B88"/>
    <w:rsid w:val="006118B7"/>
    <w:rsid w:val="0063136C"/>
    <w:rsid w:val="00634295"/>
    <w:rsid w:val="00652BFF"/>
    <w:rsid w:val="00671445"/>
    <w:rsid w:val="00683028"/>
    <w:rsid w:val="006D20B8"/>
    <w:rsid w:val="006E6539"/>
    <w:rsid w:val="007036D8"/>
    <w:rsid w:val="00714599"/>
    <w:rsid w:val="00742A52"/>
    <w:rsid w:val="0074632B"/>
    <w:rsid w:val="00755844"/>
    <w:rsid w:val="00757FDC"/>
    <w:rsid w:val="00772021"/>
    <w:rsid w:val="00787670"/>
    <w:rsid w:val="007919D3"/>
    <w:rsid w:val="007B7CAB"/>
    <w:rsid w:val="007C50C5"/>
    <w:rsid w:val="007D02AF"/>
    <w:rsid w:val="007D5247"/>
    <w:rsid w:val="008178C8"/>
    <w:rsid w:val="00830C19"/>
    <w:rsid w:val="00874C82"/>
    <w:rsid w:val="008909BD"/>
    <w:rsid w:val="00890B48"/>
    <w:rsid w:val="008C413A"/>
    <w:rsid w:val="008D1386"/>
    <w:rsid w:val="00910EBF"/>
    <w:rsid w:val="00960AA6"/>
    <w:rsid w:val="009839E9"/>
    <w:rsid w:val="009A675A"/>
    <w:rsid w:val="009C050B"/>
    <w:rsid w:val="009C6D89"/>
    <w:rsid w:val="009E2BFA"/>
    <w:rsid w:val="009E3CDD"/>
    <w:rsid w:val="009F3796"/>
    <w:rsid w:val="00A00E51"/>
    <w:rsid w:val="00A00FAE"/>
    <w:rsid w:val="00A03ECC"/>
    <w:rsid w:val="00A213A2"/>
    <w:rsid w:val="00A21823"/>
    <w:rsid w:val="00A24C01"/>
    <w:rsid w:val="00A36B71"/>
    <w:rsid w:val="00A43FEB"/>
    <w:rsid w:val="00AE0A46"/>
    <w:rsid w:val="00AE53B3"/>
    <w:rsid w:val="00B163BA"/>
    <w:rsid w:val="00B42A3A"/>
    <w:rsid w:val="00B52C98"/>
    <w:rsid w:val="00B7077B"/>
    <w:rsid w:val="00B715D8"/>
    <w:rsid w:val="00B72383"/>
    <w:rsid w:val="00B846DF"/>
    <w:rsid w:val="00B87270"/>
    <w:rsid w:val="00B94BAF"/>
    <w:rsid w:val="00BF0267"/>
    <w:rsid w:val="00BF24B7"/>
    <w:rsid w:val="00C018DE"/>
    <w:rsid w:val="00C16504"/>
    <w:rsid w:val="00C46921"/>
    <w:rsid w:val="00C62B50"/>
    <w:rsid w:val="00C83C8D"/>
    <w:rsid w:val="00CC5BD7"/>
    <w:rsid w:val="00CE7483"/>
    <w:rsid w:val="00D01289"/>
    <w:rsid w:val="00D46089"/>
    <w:rsid w:val="00D601C0"/>
    <w:rsid w:val="00D8187E"/>
    <w:rsid w:val="00D91B4C"/>
    <w:rsid w:val="00DB275F"/>
    <w:rsid w:val="00DD18C1"/>
    <w:rsid w:val="00E008A0"/>
    <w:rsid w:val="00E244BE"/>
    <w:rsid w:val="00E3569F"/>
    <w:rsid w:val="00E36AAF"/>
    <w:rsid w:val="00E4767D"/>
    <w:rsid w:val="00E51D14"/>
    <w:rsid w:val="00E53C3D"/>
    <w:rsid w:val="00E615A7"/>
    <w:rsid w:val="00E67818"/>
    <w:rsid w:val="00E726E9"/>
    <w:rsid w:val="00E863E1"/>
    <w:rsid w:val="00EC38B7"/>
    <w:rsid w:val="00EC458F"/>
    <w:rsid w:val="00ED7337"/>
    <w:rsid w:val="00EE546F"/>
    <w:rsid w:val="00F03075"/>
    <w:rsid w:val="00F108A5"/>
    <w:rsid w:val="00F10C63"/>
    <w:rsid w:val="00F17F17"/>
    <w:rsid w:val="00F9157C"/>
    <w:rsid w:val="00FD2155"/>
    <w:rsid w:val="00FE17D3"/>
    <w:rsid w:val="00FE1A95"/>
    <w:rsid w:val="00FF4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63E0E"/>
  <w15:chartTrackingRefBased/>
  <w15:docId w15:val="{58BF3D84-54E4-42BF-A7BC-534D0D4D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5F"/>
    <w:pPr>
      <w:spacing w:before="100" w:beforeAutospacing="1" w:after="100" w:afterAutospacing="1" w:line="240" w:lineRule="auto"/>
    </w:pPr>
    <w:rPr>
      <w:rFonts w:ascii="Aptos" w:hAnsi="Aptos"/>
    </w:rPr>
  </w:style>
  <w:style w:type="paragraph" w:styleId="Heading1">
    <w:name w:val="heading 1"/>
    <w:basedOn w:val="Normal"/>
    <w:next w:val="Normal"/>
    <w:link w:val="Heading1Char"/>
    <w:autoRedefine/>
    <w:uiPriority w:val="9"/>
    <w:qFormat/>
    <w:rsid w:val="00B42A3A"/>
    <w:pPr>
      <w:keepNext/>
      <w:keepLines/>
      <w:jc w:val="center"/>
      <w:outlineLvl w:val="0"/>
    </w:pPr>
    <w:rPr>
      <w:rFonts w:eastAsiaTheme="majorEastAsia" w:cstheme="majorBidi"/>
      <w:color w:val="033856"/>
      <w:sz w:val="52"/>
      <w:szCs w:val="32"/>
    </w:rPr>
  </w:style>
  <w:style w:type="paragraph" w:styleId="Heading2">
    <w:name w:val="heading 2"/>
    <w:basedOn w:val="Normal"/>
    <w:next w:val="Normal"/>
    <w:link w:val="Heading2Char"/>
    <w:autoRedefine/>
    <w:uiPriority w:val="9"/>
    <w:unhideWhenUsed/>
    <w:qFormat/>
    <w:rsid w:val="00B42A3A"/>
    <w:pPr>
      <w:keepNext/>
      <w:keepLines/>
      <w:jc w:val="center"/>
      <w:outlineLvl w:val="1"/>
    </w:pPr>
    <w:rPr>
      <w:rFonts w:eastAsiaTheme="majorEastAsia" w:cstheme="majorBidi"/>
      <w:color w:val="033856"/>
      <w:sz w:val="32"/>
      <w:szCs w:val="26"/>
    </w:rPr>
  </w:style>
  <w:style w:type="paragraph" w:styleId="Heading3">
    <w:name w:val="heading 3"/>
    <w:basedOn w:val="Normal"/>
    <w:next w:val="Normal"/>
    <w:link w:val="Heading3Char"/>
    <w:uiPriority w:val="9"/>
    <w:unhideWhenUsed/>
    <w:qFormat/>
    <w:rsid w:val="0032030E"/>
    <w:pPr>
      <w:keepNext/>
      <w:keepLines/>
      <w:spacing w:before="40" w:after="0"/>
      <w:outlineLvl w:val="2"/>
    </w:pPr>
    <w:rPr>
      <w:rFonts w:eastAsiaTheme="majorEastAsia" w:cstheme="majorBidi"/>
      <w:b/>
      <w:color w:val="0338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F17"/>
    <w:rPr>
      <w:color w:val="0563C1" w:themeColor="hyperlink"/>
      <w:u w:val="single"/>
    </w:rPr>
  </w:style>
  <w:style w:type="character" w:styleId="FollowedHyperlink">
    <w:name w:val="FollowedHyperlink"/>
    <w:basedOn w:val="DefaultParagraphFont"/>
    <w:uiPriority w:val="99"/>
    <w:semiHidden/>
    <w:unhideWhenUsed/>
    <w:rsid w:val="00C16504"/>
    <w:rPr>
      <w:color w:val="954F72" w:themeColor="followedHyperlink"/>
      <w:u w:val="single"/>
    </w:rPr>
  </w:style>
  <w:style w:type="paragraph" w:styleId="Revision">
    <w:name w:val="Revision"/>
    <w:hidden/>
    <w:uiPriority w:val="99"/>
    <w:semiHidden/>
    <w:rsid w:val="00A00FAE"/>
    <w:pPr>
      <w:spacing w:after="0" w:line="240" w:lineRule="auto"/>
    </w:pPr>
  </w:style>
  <w:style w:type="character" w:styleId="CommentReference">
    <w:name w:val="annotation reference"/>
    <w:basedOn w:val="DefaultParagraphFont"/>
    <w:uiPriority w:val="99"/>
    <w:semiHidden/>
    <w:unhideWhenUsed/>
    <w:rsid w:val="006118B7"/>
    <w:rPr>
      <w:sz w:val="16"/>
      <w:szCs w:val="16"/>
    </w:rPr>
  </w:style>
  <w:style w:type="paragraph" w:styleId="CommentText">
    <w:name w:val="annotation text"/>
    <w:basedOn w:val="Normal"/>
    <w:link w:val="CommentTextChar"/>
    <w:uiPriority w:val="99"/>
    <w:unhideWhenUsed/>
    <w:rsid w:val="006118B7"/>
    <w:rPr>
      <w:sz w:val="20"/>
      <w:szCs w:val="20"/>
    </w:rPr>
  </w:style>
  <w:style w:type="character" w:customStyle="1" w:styleId="CommentTextChar">
    <w:name w:val="Comment Text Char"/>
    <w:basedOn w:val="DefaultParagraphFont"/>
    <w:link w:val="CommentText"/>
    <w:uiPriority w:val="99"/>
    <w:rsid w:val="006118B7"/>
    <w:rPr>
      <w:sz w:val="20"/>
      <w:szCs w:val="20"/>
    </w:rPr>
  </w:style>
  <w:style w:type="paragraph" w:styleId="CommentSubject">
    <w:name w:val="annotation subject"/>
    <w:basedOn w:val="CommentText"/>
    <w:next w:val="CommentText"/>
    <w:link w:val="CommentSubjectChar"/>
    <w:uiPriority w:val="99"/>
    <w:semiHidden/>
    <w:unhideWhenUsed/>
    <w:rsid w:val="006118B7"/>
    <w:rPr>
      <w:b/>
      <w:bCs/>
    </w:rPr>
  </w:style>
  <w:style w:type="character" w:customStyle="1" w:styleId="CommentSubjectChar">
    <w:name w:val="Comment Subject Char"/>
    <w:basedOn w:val="CommentTextChar"/>
    <w:link w:val="CommentSubject"/>
    <w:uiPriority w:val="99"/>
    <w:semiHidden/>
    <w:rsid w:val="006118B7"/>
    <w:rPr>
      <w:b/>
      <w:bCs/>
      <w:sz w:val="20"/>
      <w:szCs w:val="20"/>
    </w:rPr>
  </w:style>
  <w:style w:type="character" w:customStyle="1" w:styleId="Heading2Char">
    <w:name w:val="Heading 2 Char"/>
    <w:basedOn w:val="DefaultParagraphFont"/>
    <w:link w:val="Heading2"/>
    <w:uiPriority w:val="9"/>
    <w:rsid w:val="00B42A3A"/>
    <w:rPr>
      <w:rFonts w:ascii="Aptos" w:eastAsiaTheme="majorEastAsia" w:hAnsi="Aptos" w:cstheme="majorBidi"/>
      <w:color w:val="033856"/>
      <w:sz w:val="32"/>
      <w:szCs w:val="26"/>
    </w:rPr>
  </w:style>
  <w:style w:type="character" w:customStyle="1" w:styleId="Heading1Char">
    <w:name w:val="Heading 1 Char"/>
    <w:basedOn w:val="DefaultParagraphFont"/>
    <w:link w:val="Heading1"/>
    <w:uiPriority w:val="9"/>
    <w:rsid w:val="00B42A3A"/>
    <w:rPr>
      <w:rFonts w:ascii="Aptos" w:eastAsiaTheme="majorEastAsia" w:hAnsi="Aptos" w:cstheme="majorBidi"/>
      <w:color w:val="033856"/>
      <w:sz w:val="52"/>
      <w:szCs w:val="32"/>
    </w:rPr>
  </w:style>
  <w:style w:type="paragraph" w:styleId="Header">
    <w:name w:val="header"/>
    <w:basedOn w:val="Normal"/>
    <w:link w:val="HeaderChar"/>
    <w:uiPriority w:val="99"/>
    <w:unhideWhenUsed/>
    <w:rsid w:val="00041B9D"/>
    <w:pPr>
      <w:tabs>
        <w:tab w:val="center" w:pos="4513"/>
        <w:tab w:val="right" w:pos="9026"/>
      </w:tabs>
      <w:spacing w:before="0" w:after="0"/>
    </w:pPr>
  </w:style>
  <w:style w:type="character" w:customStyle="1" w:styleId="HeaderChar">
    <w:name w:val="Header Char"/>
    <w:basedOn w:val="DefaultParagraphFont"/>
    <w:link w:val="Header"/>
    <w:uiPriority w:val="99"/>
    <w:rsid w:val="00041B9D"/>
    <w:rPr>
      <w:rFonts w:ascii="Aptos" w:hAnsi="Aptos"/>
    </w:rPr>
  </w:style>
  <w:style w:type="paragraph" w:styleId="Footer">
    <w:name w:val="footer"/>
    <w:basedOn w:val="Normal"/>
    <w:link w:val="FooterChar"/>
    <w:uiPriority w:val="99"/>
    <w:unhideWhenUsed/>
    <w:rsid w:val="00041B9D"/>
    <w:pPr>
      <w:tabs>
        <w:tab w:val="center" w:pos="4513"/>
        <w:tab w:val="right" w:pos="9026"/>
      </w:tabs>
      <w:spacing w:before="0" w:after="0"/>
    </w:pPr>
  </w:style>
  <w:style w:type="character" w:customStyle="1" w:styleId="FooterChar">
    <w:name w:val="Footer Char"/>
    <w:basedOn w:val="DefaultParagraphFont"/>
    <w:link w:val="Footer"/>
    <w:uiPriority w:val="99"/>
    <w:rsid w:val="00041B9D"/>
    <w:rPr>
      <w:rFonts w:ascii="Aptos" w:hAnsi="Aptos"/>
    </w:rPr>
  </w:style>
  <w:style w:type="character" w:customStyle="1" w:styleId="Heading3Char">
    <w:name w:val="Heading 3 Char"/>
    <w:basedOn w:val="DefaultParagraphFont"/>
    <w:link w:val="Heading3"/>
    <w:uiPriority w:val="9"/>
    <w:rsid w:val="0032030E"/>
    <w:rPr>
      <w:rFonts w:ascii="Aptos" w:eastAsiaTheme="majorEastAsia" w:hAnsi="Aptos" w:cstheme="majorBidi"/>
      <w:b/>
      <w:color w:val="033856"/>
      <w:sz w:val="24"/>
      <w:szCs w:val="24"/>
    </w:rPr>
  </w:style>
  <w:style w:type="character" w:styleId="UnresolvedMention">
    <w:name w:val="Unresolved Mention"/>
    <w:basedOn w:val="DefaultParagraphFont"/>
    <w:uiPriority w:val="99"/>
    <w:semiHidden/>
    <w:unhideWhenUsed/>
    <w:rsid w:val="00E863E1"/>
    <w:rPr>
      <w:color w:val="605E5C"/>
      <w:shd w:val="clear" w:color="auto" w:fill="E1DFDD"/>
    </w:rPr>
  </w:style>
  <w:style w:type="paragraph" w:styleId="Title">
    <w:name w:val="Title"/>
    <w:basedOn w:val="Normal"/>
    <w:next w:val="Normal"/>
    <w:link w:val="TitleChar"/>
    <w:uiPriority w:val="10"/>
    <w:qFormat/>
    <w:rsid w:val="008178C8"/>
    <w:pPr>
      <w:contextualSpacing/>
      <w:jc w:val="center"/>
    </w:pPr>
    <w:rPr>
      <w:rFonts w:eastAsiaTheme="majorEastAsia"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8178C8"/>
    <w:rPr>
      <w:rFonts w:ascii="Aptos" w:eastAsiaTheme="majorEastAsia" w:hAnsi="Aptos" w:cstheme="majorBidi"/>
      <w:color w:val="FFFFFF" w:themeColor="background1"/>
      <w:spacing w:val="-10"/>
      <w:kern w:val="28"/>
      <w:sz w:val="72"/>
      <w:szCs w:val="56"/>
    </w:rPr>
  </w:style>
  <w:style w:type="paragraph" w:styleId="TOCHeading">
    <w:name w:val="TOC Heading"/>
    <w:basedOn w:val="Heading1"/>
    <w:next w:val="Normal"/>
    <w:uiPriority w:val="39"/>
    <w:unhideWhenUsed/>
    <w:qFormat/>
    <w:rsid w:val="008178C8"/>
    <w:pPr>
      <w:outlineLvl w:val="9"/>
    </w:pPr>
    <w:rPr>
      <w:sz w:val="32"/>
      <w:lang w:eastAsia="en-GB"/>
    </w:rPr>
  </w:style>
  <w:style w:type="paragraph" w:styleId="TOC1">
    <w:name w:val="toc 1"/>
    <w:basedOn w:val="Normal"/>
    <w:next w:val="Normal"/>
    <w:autoRedefine/>
    <w:uiPriority w:val="39"/>
    <w:unhideWhenUsed/>
    <w:rsid w:val="008178C8"/>
  </w:style>
  <w:style w:type="paragraph" w:styleId="TOC2">
    <w:name w:val="toc 2"/>
    <w:basedOn w:val="Normal"/>
    <w:next w:val="Normal"/>
    <w:autoRedefine/>
    <w:uiPriority w:val="39"/>
    <w:unhideWhenUsed/>
    <w:rsid w:val="008178C8"/>
    <w:pPr>
      <w:ind w:left="220"/>
    </w:pPr>
  </w:style>
  <w:style w:type="paragraph" w:styleId="TOC3">
    <w:name w:val="toc 3"/>
    <w:basedOn w:val="Normal"/>
    <w:next w:val="Normal"/>
    <w:autoRedefine/>
    <w:uiPriority w:val="39"/>
    <w:unhideWhenUsed/>
    <w:rsid w:val="008178C8"/>
    <w:pPr>
      <w:ind w:left="440"/>
    </w:pPr>
  </w:style>
  <w:style w:type="paragraph" w:styleId="ListParagraph">
    <w:name w:val="List Paragraph"/>
    <w:basedOn w:val="Normal"/>
    <w:uiPriority w:val="34"/>
    <w:qFormat/>
    <w:rsid w:val="00367733"/>
    <w:pPr>
      <w:ind w:left="720"/>
      <w:contextualSpacing/>
    </w:pPr>
  </w:style>
  <w:style w:type="paragraph" w:customStyle="1" w:styleId="Default">
    <w:name w:val="Default"/>
    <w:rsid w:val="00E3569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B715D8"/>
    <w:pPr>
      <w:widowControl w:val="0"/>
      <w:spacing w:before="0" w:beforeAutospacing="0" w:after="0" w:afterAutospacing="0"/>
    </w:pPr>
    <w:rPr>
      <w:rFonts w:asciiTheme="minorHAnsi" w:hAnsiTheme="minorHAnsi"/>
      <w:lang w:val="en-US"/>
    </w:rPr>
  </w:style>
  <w:style w:type="paragraph" w:styleId="BodyText">
    <w:name w:val="Body Text"/>
    <w:basedOn w:val="Normal"/>
    <w:link w:val="BodyTextChar"/>
    <w:uiPriority w:val="1"/>
    <w:qFormat/>
    <w:rsid w:val="00AE0A46"/>
    <w:pPr>
      <w:widowControl w:val="0"/>
      <w:autoSpaceDE w:val="0"/>
      <w:autoSpaceDN w:val="0"/>
      <w:spacing w:before="0" w:beforeAutospacing="0" w:after="0" w:afterAutospacing="0"/>
    </w:pPr>
    <w:rPr>
      <w:rFonts w:ascii="Arial" w:eastAsia="Arial" w:hAnsi="Arial" w:cs="Arial"/>
      <w:lang w:val="en-US"/>
    </w:rPr>
  </w:style>
  <w:style w:type="character" w:customStyle="1" w:styleId="BodyTextChar">
    <w:name w:val="Body Text Char"/>
    <w:basedOn w:val="DefaultParagraphFont"/>
    <w:link w:val="BodyText"/>
    <w:uiPriority w:val="1"/>
    <w:rsid w:val="00AE0A4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3682-0089-493C-B1E3-2CF9035F1F48}">
  <ds:schemaRefs>
    <ds:schemaRef ds:uri="http://schemas.openxmlformats.org/officeDocument/2006/bibliography"/>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1305</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Johal</dc:creator>
  <cp:keywords/>
  <dc:description/>
  <cp:lastModifiedBy>Ian1 Markham</cp:lastModifiedBy>
  <cp:revision>3</cp:revision>
  <dcterms:created xsi:type="dcterms:W3CDTF">2026-03-13T14:57:00Z</dcterms:created>
  <dcterms:modified xsi:type="dcterms:W3CDTF">2026-03-13T15:07:00Z</dcterms:modified>
</cp:coreProperties>
</file>